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7E3551">
      <w:pPr>
        <w:widowControl/>
        <w:spacing w:after="300" w:line="480" w:lineRule="auto"/>
        <w:jc w:val="center"/>
        <w:rPr>
          <w:rFonts w:hint="eastAsia" w:ascii="小标宋" w:hAnsi="小标宋" w:eastAsia="小标宋" w:cs="小标宋"/>
          <w:color w:val="333333"/>
          <w:kern w:val="0"/>
          <w:sz w:val="36"/>
          <w:szCs w:val="36"/>
        </w:rPr>
      </w:pPr>
      <w:r>
        <w:rPr>
          <w:rFonts w:hint="eastAsia" w:ascii="小标宋" w:hAnsi="小标宋" w:eastAsia="小标宋" w:cs="小标宋"/>
          <w:b/>
          <w:bCs/>
          <w:color w:val="333333"/>
          <w:kern w:val="0"/>
          <w:sz w:val="36"/>
          <w:szCs w:val="36"/>
        </w:rPr>
        <w:t>数学与统计学院202</w:t>
      </w:r>
      <w:r>
        <w:rPr>
          <w:rFonts w:hint="eastAsia" w:ascii="小标宋" w:hAnsi="小标宋" w:eastAsia="小标宋" w:cs="小标宋"/>
          <w:b/>
          <w:bCs/>
          <w:color w:val="333333"/>
          <w:kern w:val="0"/>
          <w:sz w:val="36"/>
          <w:szCs w:val="36"/>
          <w:lang w:val="en-US" w:eastAsia="zh-CN"/>
        </w:rPr>
        <w:t>6</w:t>
      </w:r>
      <w:r>
        <w:rPr>
          <w:rFonts w:hint="eastAsia" w:ascii="小标宋" w:hAnsi="小标宋" w:eastAsia="小标宋" w:cs="小标宋"/>
          <w:b/>
          <w:bCs/>
          <w:color w:val="333333"/>
          <w:kern w:val="0"/>
          <w:sz w:val="36"/>
          <w:szCs w:val="36"/>
        </w:rPr>
        <w:t>届毕业生就业资源介绍</w:t>
      </w:r>
    </w:p>
    <w:p w14:paraId="05D04DA1">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数学与统计学院是南宁师范大学最早创办的院系之一，其前身可追溯到成立于1953年的广西教师进修学院数学学科。学院开设数学与应用数学、应用统计学和金融数学3个全日制普通本科专业。其中，数学与应用数学专业是国家级一</w:t>
      </w:r>
      <w:bookmarkStart w:id="0" w:name="_GoBack"/>
      <w:bookmarkEnd w:id="0"/>
      <w:r>
        <w:rPr>
          <w:rFonts w:hint="eastAsia" w:ascii="仿宋_GB2312" w:hAnsi="仿宋_GB2312" w:eastAsia="仿宋_GB2312" w:cs="仿宋_GB2312"/>
          <w:color w:val="333333"/>
          <w:kern w:val="0"/>
          <w:sz w:val="28"/>
          <w:szCs w:val="28"/>
        </w:rPr>
        <w:t>流本科专业建设点</w:t>
      </w:r>
      <w:r>
        <w:rPr>
          <w:rFonts w:hint="eastAsia" w:ascii="仿宋_GB2312" w:hAnsi="仿宋_GB2312" w:eastAsia="仿宋_GB2312" w:cs="仿宋_GB2312"/>
          <w:color w:val="333333"/>
          <w:kern w:val="0"/>
          <w:sz w:val="28"/>
          <w:szCs w:val="28"/>
          <w:lang w:eastAsia="zh-CN"/>
        </w:rPr>
        <w:t>、广西高等学校优质专业（2006年），</w:t>
      </w:r>
      <w:r>
        <w:rPr>
          <w:rFonts w:hint="eastAsia" w:ascii="仿宋_GB2312" w:hAnsi="仿宋_GB2312" w:eastAsia="仿宋_GB2312" w:cs="仿宋_GB2312"/>
          <w:color w:val="333333"/>
          <w:kern w:val="0"/>
          <w:sz w:val="28"/>
          <w:szCs w:val="28"/>
        </w:rPr>
        <w:t>应用统计学是自治区级一流本科专业建设点</w:t>
      </w:r>
      <w:r>
        <w:rPr>
          <w:rFonts w:hint="eastAsia" w:ascii="仿宋_GB2312" w:hAnsi="仿宋_GB2312" w:eastAsia="仿宋_GB2312" w:cs="仿宋_GB2312"/>
          <w:color w:val="333333"/>
          <w:kern w:val="0"/>
          <w:sz w:val="28"/>
          <w:szCs w:val="28"/>
          <w:lang w:eastAsia="zh-CN"/>
        </w:rPr>
        <w:t>、广西高校特色专业（2014年），</w:t>
      </w:r>
      <w:r>
        <w:rPr>
          <w:rFonts w:hint="eastAsia" w:ascii="仿宋_GB2312" w:hAnsi="仿宋_GB2312" w:eastAsia="仿宋_GB2312" w:cs="仿宋_GB2312"/>
          <w:color w:val="333333"/>
          <w:kern w:val="0"/>
          <w:sz w:val="28"/>
          <w:szCs w:val="28"/>
          <w:lang w:val="en-US" w:eastAsia="zh-CN"/>
        </w:rPr>
        <w:t>金融数学专业是自治区级特色专业</w:t>
      </w:r>
      <w:r>
        <w:rPr>
          <w:rFonts w:hint="eastAsia" w:ascii="仿宋_GB2312" w:hAnsi="仿宋_GB2312" w:eastAsia="仿宋_GB2312" w:cs="仿宋_GB2312"/>
          <w:color w:val="333333"/>
          <w:kern w:val="0"/>
          <w:sz w:val="28"/>
          <w:szCs w:val="28"/>
        </w:rPr>
        <w:t>。截至202</w:t>
      </w:r>
      <w:r>
        <w:rPr>
          <w:rFonts w:hint="eastAsia" w:ascii="仿宋_GB2312" w:hAnsi="仿宋_GB2312" w:eastAsia="仿宋_GB2312" w:cs="仿宋_GB2312"/>
          <w:color w:val="333333"/>
          <w:kern w:val="0"/>
          <w:sz w:val="28"/>
          <w:szCs w:val="28"/>
          <w:lang w:val="en-US" w:eastAsia="zh-CN"/>
        </w:rPr>
        <w:t>5</w:t>
      </w:r>
      <w:r>
        <w:rPr>
          <w:rFonts w:hint="eastAsia" w:ascii="仿宋_GB2312" w:hAnsi="仿宋_GB2312" w:eastAsia="仿宋_GB2312" w:cs="仿宋_GB2312"/>
          <w:color w:val="333333"/>
          <w:kern w:val="0"/>
          <w:sz w:val="28"/>
          <w:szCs w:val="28"/>
        </w:rPr>
        <w:t>年，学院现拥有数学一级学科硕士学位授权点和学科教学（数学）教育硕士专业硕士学位授权点；拥有广西唯一的数学类院士工作站</w:t>
      </w:r>
      <w:r>
        <w:rPr>
          <w:rFonts w:hint="eastAsia" w:ascii="仿宋_GB2312" w:hAnsi="仿宋_GB2312" w:eastAsia="仿宋_GB2312" w:cs="仿宋_GB2312"/>
          <w:color w:val="333333"/>
          <w:kern w:val="0"/>
          <w:sz w:val="28"/>
          <w:szCs w:val="28"/>
          <w:lang w:eastAsia="zh-CN"/>
        </w:rPr>
        <w:t>——</w:t>
      </w:r>
      <w:r>
        <w:rPr>
          <w:rFonts w:hint="eastAsia" w:ascii="仿宋_GB2312" w:hAnsi="仿宋_GB2312" w:eastAsia="仿宋_GB2312" w:cs="仿宋_GB2312"/>
          <w:color w:val="333333"/>
          <w:kern w:val="0"/>
          <w:sz w:val="28"/>
          <w:szCs w:val="28"/>
        </w:rPr>
        <w:t>“应用数学”院士工作站，拥有广西高等学校高水平创新团队、广西高校数据科学重点实验室、广西人机交互与智能决策重点实验室、自治区级实验教学示范建设中心---科学计算与数学建模实验教学中心。</w:t>
      </w:r>
    </w:p>
    <w:p w14:paraId="233EDC40">
      <w:pPr>
        <w:keepNext w:val="0"/>
        <w:keepLines w:val="0"/>
        <w:pageBreakBefore w:val="0"/>
        <w:widowControl/>
        <w:kinsoku/>
        <w:wordWrap/>
        <w:overflowPunct/>
        <w:topLinePunct w:val="0"/>
        <w:autoSpaceDE/>
        <w:autoSpaceDN/>
        <w:bidi w:val="0"/>
        <w:adjustRightInd/>
        <w:snapToGrid/>
        <w:spacing w:line="480" w:lineRule="auto"/>
        <w:ind w:left="0" w:firstLine="582" w:firstLineChars="200"/>
        <w:textAlignment w:val="auto"/>
        <w:rPr>
          <w:rFonts w:hint="default" w:ascii="Times New Roman" w:hAnsi="Times New Roman" w:eastAsia="宋体" w:cs="宋体"/>
          <w:color w:val="333333"/>
          <w:kern w:val="0"/>
          <w:sz w:val="24"/>
          <w:szCs w:val="24"/>
          <w:lang w:val="en-US" w:eastAsia="zh-CN"/>
        </w:rPr>
      </w:pPr>
      <w:r>
        <w:rPr>
          <w:rFonts w:hint="eastAsia" w:ascii="Times New Roman" w:hAnsi="Times New Roman" w:eastAsia="宋体" w:cs="宋体"/>
          <w:b/>
          <w:bCs/>
          <w:color w:val="333333"/>
          <w:kern w:val="0"/>
          <w:sz w:val="29"/>
          <w:szCs w:val="29"/>
        </w:rPr>
        <w:t>一、</w:t>
      </w:r>
      <w:r>
        <w:rPr>
          <w:rFonts w:ascii="Times New Roman" w:hAnsi="Times New Roman" w:eastAsia="微软雅黑" w:cs="Calibri"/>
          <w:b/>
          <w:bCs/>
          <w:color w:val="333333"/>
          <w:kern w:val="0"/>
          <w:sz w:val="29"/>
          <w:szCs w:val="29"/>
        </w:rPr>
        <w:t>202</w:t>
      </w:r>
      <w:r>
        <w:rPr>
          <w:rFonts w:hint="eastAsia" w:ascii="Times New Roman" w:hAnsi="Times New Roman" w:eastAsia="微软雅黑" w:cs="Calibri"/>
          <w:b/>
          <w:bCs/>
          <w:color w:val="333333"/>
          <w:kern w:val="0"/>
          <w:sz w:val="29"/>
          <w:szCs w:val="29"/>
          <w:lang w:val="en-US" w:eastAsia="zh-CN"/>
        </w:rPr>
        <w:t>6</w:t>
      </w:r>
      <w:r>
        <w:rPr>
          <w:rFonts w:hint="eastAsia" w:ascii="Times New Roman" w:hAnsi="Times New Roman" w:eastAsia="宋体" w:cs="宋体"/>
          <w:b/>
          <w:bCs/>
          <w:color w:val="333333"/>
          <w:kern w:val="0"/>
          <w:sz w:val="29"/>
          <w:szCs w:val="29"/>
        </w:rPr>
        <w:t>届</w:t>
      </w:r>
      <w:r>
        <w:rPr>
          <w:rFonts w:hint="eastAsia" w:ascii="Times New Roman" w:hAnsi="Times New Roman" w:eastAsia="宋体" w:cs="宋体"/>
          <w:b/>
          <w:bCs/>
          <w:color w:val="333333"/>
          <w:kern w:val="0"/>
          <w:sz w:val="29"/>
          <w:szCs w:val="29"/>
          <w:lang w:val="en-US" w:eastAsia="zh-CN"/>
        </w:rPr>
        <w:t>本硕</w:t>
      </w:r>
      <w:r>
        <w:rPr>
          <w:rFonts w:hint="eastAsia" w:ascii="Times New Roman" w:hAnsi="Times New Roman" w:eastAsia="宋体" w:cs="宋体"/>
          <w:b/>
          <w:bCs/>
          <w:color w:val="333333"/>
          <w:kern w:val="0"/>
          <w:sz w:val="29"/>
          <w:szCs w:val="29"/>
        </w:rPr>
        <w:t>毕业生资源信息</w:t>
      </w:r>
      <w:r>
        <w:rPr>
          <w:rFonts w:hint="eastAsia" w:ascii="Times New Roman" w:hAnsi="Times New Roman" w:eastAsia="宋体" w:cs="宋体"/>
          <w:b/>
          <w:bCs/>
          <w:color w:val="333333"/>
          <w:kern w:val="0"/>
          <w:sz w:val="29"/>
          <w:szCs w:val="29"/>
          <w:lang w:val="en-US" w:eastAsia="zh-CN"/>
        </w:rPr>
        <w:t xml:space="preserve">    </w:t>
      </w:r>
    </w:p>
    <w:p w14:paraId="3D945705">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数学与统计学院2026届</w:t>
      </w:r>
      <w:r>
        <w:rPr>
          <w:rFonts w:hint="eastAsia" w:ascii="仿宋_GB2312" w:hAnsi="仿宋_GB2312" w:eastAsia="仿宋_GB2312" w:cs="仿宋_GB2312"/>
          <w:color w:val="333333"/>
          <w:kern w:val="0"/>
          <w:sz w:val="28"/>
          <w:szCs w:val="28"/>
          <w:lang w:val="en-US" w:eastAsia="zh-CN"/>
        </w:rPr>
        <w:t>预计</w:t>
      </w:r>
      <w:r>
        <w:rPr>
          <w:rFonts w:hint="eastAsia" w:ascii="仿宋_GB2312" w:hAnsi="仿宋_GB2312" w:eastAsia="仿宋_GB2312" w:cs="仿宋_GB2312"/>
          <w:color w:val="333333"/>
          <w:kern w:val="0"/>
          <w:sz w:val="28"/>
          <w:szCs w:val="28"/>
        </w:rPr>
        <w:t>毕业生共335人，其中硕士</w:t>
      </w:r>
      <w:r>
        <w:rPr>
          <w:rFonts w:hint="eastAsia" w:ascii="仿宋_GB2312" w:hAnsi="仿宋_GB2312" w:eastAsia="仿宋_GB2312" w:cs="仿宋_GB2312"/>
          <w:color w:val="333333"/>
          <w:kern w:val="0"/>
          <w:sz w:val="28"/>
          <w:szCs w:val="28"/>
          <w:lang w:val="en-US" w:eastAsia="zh-CN"/>
        </w:rPr>
        <w:t>毕业生</w:t>
      </w:r>
      <w:r>
        <w:rPr>
          <w:rFonts w:hint="eastAsia" w:ascii="仿宋_GB2312" w:hAnsi="仿宋_GB2312" w:eastAsia="仿宋_GB2312" w:cs="仿宋_GB2312"/>
          <w:color w:val="333333"/>
          <w:kern w:val="0"/>
          <w:sz w:val="28"/>
          <w:szCs w:val="28"/>
        </w:rPr>
        <w:t>36人，本科生</w:t>
      </w:r>
      <w:r>
        <w:rPr>
          <w:rFonts w:hint="eastAsia" w:ascii="仿宋_GB2312" w:hAnsi="仿宋_GB2312" w:eastAsia="仿宋_GB2312" w:cs="仿宋_GB2312"/>
          <w:color w:val="333333"/>
          <w:kern w:val="0"/>
          <w:sz w:val="28"/>
          <w:szCs w:val="28"/>
          <w:lang w:val="en-US" w:eastAsia="zh-CN"/>
        </w:rPr>
        <w:t>毕业生</w:t>
      </w:r>
      <w:r>
        <w:rPr>
          <w:rFonts w:hint="eastAsia" w:ascii="仿宋_GB2312" w:hAnsi="仿宋_GB2312" w:eastAsia="仿宋_GB2312" w:cs="仿宋_GB2312"/>
          <w:color w:val="333333"/>
          <w:kern w:val="0"/>
          <w:sz w:val="28"/>
          <w:szCs w:val="28"/>
        </w:rPr>
        <w:t>299人，我院毕业生大部分就职于广西区内外各类型学校数学教师岗位、银行证券金融岗位、数据挖掘类岗位、企事业单位统计审计岗位等。以下为202</w:t>
      </w:r>
      <w:r>
        <w:rPr>
          <w:rFonts w:hint="eastAsia" w:ascii="仿宋_GB2312" w:hAnsi="仿宋_GB2312" w:eastAsia="仿宋_GB2312" w:cs="仿宋_GB2312"/>
          <w:color w:val="333333"/>
          <w:kern w:val="0"/>
          <w:sz w:val="28"/>
          <w:szCs w:val="28"/>
          <w:lang w:val="en-US" w:eastAsia="zh-CN"/>
        </w:rPr>
        <w:t>6</w:t>
      </w:r>
      <w:r>
        <w:rPr>
          <w:rFonts w:hint="eastAsia" w:ascii="仿宋_GB2312" w:hAnsi="仿宋_GB2312" w:eastAsia="仿宋_GB2312" w:cs="仿宋_GB2312"/>
          <w:color w:val="333333"/>
          <w:kern w:val="0"/>
          <w:sz w:val="28"/>
          <w:szCs w:val="28"/>
        </w:rPr>
        <w:t>届本科生毕业生资源信息：</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583"/>
        <w:gridCol w:w="2737"/>
        <w:gridCol w:w="1340"/>
        <w:gridCol w:w="2853"/>
      </w:tblGrid>
      <w:tr w14:paraId="55646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83" w:type="dxa"/>
            <w:tcMar>
              <w:top w:w="0" w:type="dxa"/>
              <w:left w:w="105" w:type="dxa"/>
              <w:bottom w:w="0" w:type="dxa"/>
              <w:right w:w="105" w:type="dxa"/>
            </w:tcMar>
          </w:tcPr>
          <w:p w14:paraId="5EE9F1A4">
            <w:pPr>
              <w:widowControl/>
              <w:jc w:val="center"/>
              <w:rPr>
                <w:rFonts w:hint="eastAsia" w:ascii="宋体" w:hAnsi="宋体" w:eastAsia="宋体" w:cs="Times New Roman"/>
                <w:color w:val="333333"/>
                <w:kern w:val="0"/>
                <w:sz w:val="24"/>
                <w:szCs w:val="24"/>
                <w:lang w:val="en-US" w:eastAsia="zh-CN"/>
              </w:rPr>
            </w:pPr>
            <w:r>
              <w:rPr>
                <w:rFonts w:hint="eastAsia" w:ascii="宋体" w:hAnsi="宋体" w:eastAsia="宋体" w:cs="Times New Roman"/>
                <w:color w:val="333333"/>
                <w:kern w:val="0"/>
                <w:sz w:val="24"/>
                <w:szCs w:val="24"/>
                <w:lang w:val="en-US" w:eastAsia="zh-CN"/>
              </w:rPr>
              <w:t>层次</w:t>
            </w:r>
          </w:p>
        </w:tc>
        <w:tc>
          <w:tcPr>
            <w:tcW w:w="2737" w:type="dxa"/>
            <w:tcMar>
              <w:top w:w="0" w:type="dxa"/>
              <w:left w:w="105" w:type="dxa"/>
              <w:bottom w:w="0" w:type="dxa"/>
              <w:right w:w="105" w:type="dxa"/>
            </w:tcMar>
          </w:tcPr>
          <w:p w14:paraId="7EDB3780">
            <w:pPr>
              <w:widowControl/>
              <w:jc w:val="center"/>
              <w:rPr>
                <w:rFonts w:ascii="宋体" w:hAnsi="宋体" w:eastAsia="宋体" w:cs="宋体"/>
                <w:color w:val="333333"/>
                <w:kern w:val="0"/>
                <w:sz w:val="24"/>
                <w:szCs w:val="24"/>
              </w:rPr>
            </w:pPr>
            <w:r>
              <w:rPr>
                <w:rFonts w:hint="eastAsia" w:ascii="宋体" w:hAnsi="宋体" w:eastAsia="宋体" w:cs="Times New Roman"/>
                <w:color w:val="333333"/>
                <w:kern w:val="0"/>
                <w:sz w:val="24"/>
                <w:szCs w:val="24"/>
              </w:rPr>
              <w:t>专业</w:t>
            </w:r>
          </w:p>
        </w:tc>
        <w:tc>
          <w:tcPr>
            <w:tcW w:w="1340" w:type="dxa"/>
            <w:tcMar>
              <w:top w:w="0" w:type="dxa"/>
              <w:left w:w="105" w:type="dxa"/>
              <w:bottom w:w="0" w:type="dxa"/>
              <w:right w:w="105" w:type="dxa"/>
            </w:tcMar>
          </w:tcPr>
          <w:p w14:paraId="3AED1DCA">
            <w:pPr>
              <w:widowControl/>
              <w:jc w:val="center"/>
              <w:rPr>
                <w:rFonts w:ascii="宋体" w:hAnsi="宋体" w:eastAsia="宋体" w:cs="宋体"/>
                <w:color w:val="333333"/>
                <w:kern w:val="0"/>
                <w:sz w:val="24"/>
                <w:szCs w:val="24"/>
              </w:rPr>
            </w:pPr>
            <w:r>
              <w:rPr>
                <w:rFonts w:hint="eastAsia" w:ascii="宋体" w:hAnsi="宋体" w:eastAsia="宋体" w:cs="宋体"/>
                <w:color w:val="333333"/>
                <w:kern w:val="0"/>
                <w:sz w:val="24"/>
                <w:szCs w:val="24"/>
              </w:rPr>
              <w:t>人数（人）</w:t>
            </w:r>
          </w:p>
        </w:tc>
        <w:tc>
          <w:tcPr>
            <w:tcW w:w="2853" w:type="dxa"/>
            <w:tcMar>
              <w:top w:w="0" w:type="dxa"/>
              <w:left w:w="105" w:type="dxa"/>
              <w:bottom w:w="0" w:type="dxa"/>
              <w:right w:w="105" w:type="dxa"/>
            </w:tcMar>
          </w:tcPr>
          <w:p w14:paraId="359CA4A0">
            <w:pPr>
              <w:widowControl/>
              <w:jc w:val="center"/>
              <w:rPr>
                <w:rFonts w:ascii="宋体" w:hAnsi="宋体" w:eastAsia="宋体" w:cs="宋体"/>
                <w:color w:val="333333"/>
                <w:kern w:val="0"/>
                <w:sz w:val="24"/>
                <w:szCs w:val="24"/>
              </w:rPr>
            </w:pPr>
            <w:r>
              <w:rPr>
                <w:rFonts w:hint="eastAsia" w:ascii="宋体" w:hAnsi="宋体" w:eastAsia="宋体" w:cs="宋体"/>
                <w:color w:val="333333"/>
                <w:kern w:val="0"/>
                <w:sz w:val="24"/>
                <w:szCs w:val="24"/>
              </w:rPr>
              <w:t>授予学位</w:t>
            </w:r>
          </w:p>
        </w:tc>
      </w:tr>
      <w:tr w14:paraId="477F0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583" w:type="dxa"/>
            <w:vMerge w:val="restart"/>
            <w:tcMar>
              <w:top w:w="0" w:type="dxa"/>
              <w:left w:w="105" w:type="dxa"/>
              <w:bottom w:w="0" w:type="dxa"/>
              <w:right w:w="105" w:type="dxa"/>
            </w:tcMar>
            <w:vAlign w:val="center"/>
          </w:tcPr>
          <w:p w14:paraId="490EFFF1">
            <w:pPr>
              <w:widowControl/>
              <w:jc w:val="center"/>
              <w:rPr>
                <w:rFonts w:hint="default" w:ascii="宋体" w:hAnsi="宋体" w:eastAsia="宋体" w:cs="Times New Roman"/>
                <w:color w:val="333333"/>
                <w:kern w:val="0"/>
                <w:sz w:val="24"/>
                <w:szCs w:val="24"/>
                <w:lang w:val="en-US" w:eastAsia="zh-CN"/>
              </w:rPr>
            </w:pPr>
            <w:r>
              <w:rPr>
                <w:rFonts w:hint="eastAsia" w:ascii="宋体" w:hAnsi="宋体" w:eastAsia="宋体" w:cs="Times New Roman"/>
                <w:color w:val="333333"/>
                <w:kern w:val="0"/>
                <w:sz w:val="24"/>
                <w:szCs w:val="24"/>
                <w:lang w:val="en-US" w:eastAsia="zh-CN"/>
              </w:rPr>
              <w:t>研究生</w:t>
            </w:r>
          </w:p>
        </w:tc>
        <w:tc>
          <w:tcPr>
            <w:tcW w:w="2737" w:type="dxa"/>
            <w:tcMar>
              <w:top w:w="0" w:type="dxa"/>
              <w:left w:w="105" w:type="dxa"/>
              <w:bottom w:w="0" w:type="dxa"/>
              <w:right w:w="105" w:type="dxa"/>
            </w:tcMar>
          </w:tcPr>
          <w:p w14:paraId="0859DBE1">
            <w:pPr>
              <w:widowControl/>
              <w:jc w:val="center"/>
              <w:rPr>
                <w:rFonts w:ascii="宋体" w:hAnsi="宋体" w:eastAsia="宋体" w:cs="宋体"/>
                <w:color w:val="333333"/>
                <w:kern w:val="0"/>
                <w:sz w:val="24"/>
                <w:szCs w:val="24"/>
              </w:rPr>
            </w:pPr>
            <w:r>
              <w:rPr>
                <w:rFonts w:hint="eastAsia" w:ascii="宋体" w:hAnsi="宋体" w:eastAsia="宋体" w:cs="Times New Roman"/>
                <w:color w:val="333333"/>
                <w:kern w:val="0"/>
                <w:sz w:val="24"/>
                <w:szCs w:val="24"/>
                <w:lang w:val="en-US" w:eastAsia="zh-CN"/>
              </w:rPr>
              <w:t>基础</w:t>
            </w:r>
            <w:r>
              <w:rPr>
                <w:rFonts w:hint="eastAsia" w:ascii="宋体" w:hAnsi="宋体" w:eastAsia="宋体" w:cs="Times New Roman"/>
                <w:color w:val="333333"/>
                <w:kern w:val="0"/>
                <w:sz w:val="24"/>
                <w:szCs w:val="24"/>
              </w:rPr>
              <w:t>数学</w:t>
            </w:r>
          </w:p>
        </w:tc>
        <w:tc>
          <w:tcPr>
            <w:tcW w:w="1340" w:type="dxa"/>
            <w:tcMar>
              <w:top w:w="0" w:type="dxa"/>
              <w:left w:w="105" w:type="dxa"/>
              <w:bottom w:w="0" w:type="dxa"/>
              <w:right w:w="105" w:type="dxa"/>
            </w:tcMar>
          </w:tcPr>
          <w:p w14:paraId="7A5502FA">
            <w:pPr>
              <w:widowControl/>
              <w:spacing w:line="360" w:lineRule="atLeast"/>
              <w:jc w:val="center"/>
              <w:rPr>
                <w:rFonts w:hint="default" w:ascii="宋体" w:hAnsi="宋体" w:eastAsia="宋体" w:cs="宋体"/>
                <w:color w:val="333333"/>
                <w:kern w:val="0"/>
                <w:sz w:val="24"/>
                <w:szCs w:val="24"/>
                <w:lang w:val="en-US" w:eastAsia="zh-CN"/>
              </w:rPr>
            </w:pPr>
            <w:r>
              <w:rPr>
                <w:rFonts w:hint="eastAsia" w:ascii="Times New Roman" w:hAnsi="Times New Roman" w:eastAsia="宋体" w:cs="Times New Roman"/>
                <w:color w:val="333333"/>
                <w:kern w:val="0"/>
                <w:sz w:val="24"/>
                <w:szCs w:val="24"/>
                <w:lang w:val="en-US" w:eastAsia="zh-CN"/>
              </w:rPr>
              <w:t>7</w:t>
            </w:r>
          </w:p>
        </w:tc>
        <w:tc>
          <w:tcPr>
            <w:tcW w:w="2853" w:type="dxa"/>
            <w:tcMar>
              <w:top w:w="0" w:type="dxa"/>
              <w:left w:w="105" w:type="dxa"/>
              <w:bottom w:w="0" w:type="dxa"/>
              <w:right w:w="105" w:type="dxa"/>
            </w:tcMar>
          </w:tcPr>
          <w:p w14:paraId="2A603286">
            <w:pPr>
              <w:widowControl/>
              <w:jc w:val="center"/>
              <w:rPr>
                <w:rFonts w:hint="eastAsia" w:ascii="宋体" w:hAnsi="宋体" w:eastAsia="宋体" w:cs="宋体"/>
                <w:color w:val="333333"/>
                <w:kern w:val="0"/>
                <w:sz w:val="24"/>
                <w:szCs w:val="24"/>
                <w:lang w:val="en-US" w:eastAsia="zh-CN"/>
              </w:rPr>
            </w:pPr>
            <w:r>
              <w:rPr>
                <w:rFonts w:hint="eastAsia" w:ascii="宋体" w:hAnsi="宋体" w:eastAsia="宋体" w:cs="宋体"/>
                <w:color w:val="333333"/>
                <w:kern w:val="0"/>
                <w:sz w:val="24"/>
                <w:szCs w:val="24"/>
              </w:rPr>
              <w:t>理学</w:t>
            </w:r>
            <w:r>
              <w:rPr>
                <w:rFonts w:hint="eastAsia" w:ascii="宋体" w:hAnsi="宋体" w:eastAsia="宋体" w:cs="宋体"/>
                <w:color w:val="333333"/>
                <w:kern w:val="0"/>
                <w:sz w:val="24"/>
                <w:szCs w:val="24"/>
                <w:lang w:val="en-US" w:eastAsia="zh-CN"/>
              </w:rPr>
              <w:t>硕士</w:t>
            </w:r>
          </w:p>
        </w:tc>
      </w:tr>
      <w:tr w14:paraId="431EB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583" w:type="dxa"/>
            <w:vMerge w:val="continue"/>
            <w:tcMar>
              <w:top w:w="0" w:type="dxa"/>
              <w:left w:w="105" w:type="dxa"/>
              <w:bottom w:w="0" w:type="dxa"/>
              <w:right w:w="105" w:type="dxa"/>
            </w:tcMar>
          </w:tcPr>
          <w:p w14:paraId="0381DF25">
            <w:pPr>
              <w:widowControl/>
              <w:jc w:val="center"/>
              <w:rPr>
                <w:rFonts w:hint="eastAsia" w:ascii="宋体" w:hAnsi="宋体" w:eastAsia="宋体" w:cs="Times New Roman"/>
                <w:color w:val="333333"/>
                <w:kern w:val="0"/>
                <w:sz w:val="24"/>
                <w:szCs w:val="24"/>
              </w:rPr>
            </w:pPr>
          </w:p>
        </w:tc>
        <w:tc>
          <w:tcPr>
            <w:tcW w:w="2737" w:type="dxa"/>
            <w:tcMar>
              <w:top w:w="0" w:type="dxa"/>
              <w:left w:w="105" w:type="dxa"/>
              <w:bottom w:w="0" w:type="dxa"/>
              <w:right w:w="105" w:type="dxa"/>
            </w:tcMar>
          </w:tcPr>
          <w:p w14:paraId="6E899E44">
            <w:pPr>
              <w:widowControl/>
              <w:jc w:val="center"/>
              <w:rPr>
                <w:rFonts w:ascii="宋体" w:hAnsi="宋体" w:eastAsia="宋体" w:cs="宋体"/>
                <w:color w:val="333333"/>
                <w:kern w:val="0"/>
                <w:sz w:val="24"/>
                <w:szCs w:val="24"/>
              </w:rPr>
            </w:pPr>
            <w:r>
              <w:rPr>
                <w:rFonts w:hint="eastAsia" w:ascii="宋体" w:hAnsi="宋体" w:eastAsia="宋体" w:cs="Times New Roman"/>
                <w:color w:val="333333"/>
                <w:kern w:val="0"/>
                <w:sz w:val="24"/>
                <w:szCs w:val="24"/>
              </w:rPr>
              <w:t>应用</w:t>
            </w:r>
            <w:r>
              <w:rPr>
                <w:rFonts w:hint="eastAsia" w:ascii="宋体" w:hAnsi="宋体" w:eastAsia="宋体" w:cs="Times New Roman"/>
                <w:color w:val="333333"/>
                <w:kern w:val="0"/>
                <w:sz w:val="24"/>
                <w:szCs w:val="24"/>
                <w:lang w:val="en-US" w:eastAsia="zh-CN"/>
              </w:rPr>
              <w:t>数</w:t>
            </w:r>
            <w:r>
              <w:rPr>
                <w:rFonts w:hint="eastAsia" w:ascii="宋体" w:hAnsi="宋体" w:eastAsia="宋体" w:cs="Times New Roman"/>
                <w:color w:val="333333"/>
                <w:kern w:val="0"/>
                <w:sz w:val="24"/>
                <w:szCs w:val="24"/>
              </w:rPr>
              <w:t>学</w:t>
            </w:r>
          </w:p>
        </w:tc>
        <w:tc>
          <w:tcPr>
            <w:tcW w:w="1340" w:type="dxa"/>
            <w:tcMar>
              <w:top w:w="0" w:type="dxa"/>
              <w:left w:w="105" w:type="dxa"/>
              <w:bottom w:w="0" w:type="dxa"/>
              <w:right w:w="105" w:type="dxa"/>
            </w:tcMar>
          </w:tcPr>
          <w:p w14:paraId="30898EAA">
            <w:pPr>
              <w:widowControl/>
              <w:spacing w:line="360" w:lineRule="atLeast"/>
              <w:jc w:val="center"/>
              <w:rPr>
                <w:rFonts w:hint="default" w:ascii="Times New Roman" w:hAnsi="Times New Roman" w:eastAsia="宋体" w:cs="Times New Roman"/>
                <w:color w:val="333333"/>
                <w:kern w:val="0"/>
                <w:sz w:val="24"/>
                <w:szCs w:val="24"/>
                <w:lang w:val="en-US" w:eastAsia="zh-CN"/>
              </w:rPr>
            </w:pPr>
            <w:r>
              <w:rPr>
                <w:rFonts w:hint="eastAsia" w:ascii="Times New Roman" w:hAnsi="Times New Roman" w:eastAsia="宋体" w:cs="Times New Roman"/>
                <w:color w:val="333333"/>
                <w:kern w:val="0"/>
                <w:sz w:val="24"/>
                <w:szCs w:val="24"/>
                <w:lang w:val="en-US" w:eastAsia="zh-CN"/>
              </w:rPr>
              <w:t>8</w:t>
            </w:r>
          </w:p>
        </w:tc>
        <w:tc>
          <w:tcPr>
            <w:tcW w:w="2853" w:type="dxa"/>
            <w:tcMar>
              <w:top w:w="0" w:type="dxa"/>
              <w:left w:w="105" w:type="dxa"/>
              <w:bottom w:w="0" w:type="dxa"/>
              <w:right w:w="105" w:type="dxa"/>
            </w:tcMar>
          </w:tcPr>
          <w:p w14:paraId="2832E241">
            <w:pPr>
              <w:widowControl/>
              <w:jc w:val="center"/>
              <w:rPr>
                <w:rFonts w:ascii="宋体" w:hAnsi="宋体" w:eastAsia="宋体" w:cs="宋体"/>
                <w:color w:val="333333"/>
                <w:kern w:val="0"/>
                <w:sz w:val="24"/>
                <w:szCs w:val="24"/>
              </w:rPr>
            </w:pPr>
            <w:r>
              <w:rPr>
                <w:rFonts w:hint="eastAsia" w:ascii="宋体" w:hAnsi="宋体" w:eastAsia="宋体" w:cs="宋体"/>
                <w:color w:val="333333"/>
                <w:kern w:val="0"/>
                <w:sz w:val="24"/>
                <w:szCs w:val="24"/>
              </w:rPr>
              <w:t>理学</w:t>
            </w:r>
            <w:r>
              <w:rPr>
                <w:rFonts w:hint="eastAsia" w:ascii="宋体" w:hAnsi="宋体" w:eastAsia="宋体" w:cs="宋体"/>
                <w:color w:val="333333"/>
                <w:kern w:val="0"/>
                <w:sz w:val="24"/>
                <w:szCs w:val="24"/>
                <w:lang w:val="en-US" w:eastAsia="zh-CN"/>
              </w:rPr>
              <w:t>硕士</w:t>
            </w:r>
          </w:p>
        </w:tc>
      </w:tr>
      <w:tr w14:paraId="5FE2F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583" w:type="dxa"/>
            <w:vMerge w:val="continue"/>
            <w:tcMar>
              <w:top w:w="0" w:type="dxa"/>
              <w:left w:w="105" w:type="dxa"/>
              <w:bottom w:w="0" w:type="dxa"/>
              <w:right w:w="105" w:type="dxa"/>
            </w:tcMar>
          </w:tcPr>
          <w:p w14:paraId="3DA4E603">
            <w:pPr>
              <w:widowControl/>
              <w:jc w:val="center"/>
              <w:rPr>
                <w:rFonts w:hint="eastAsia" w:ascii="宋体" w:hAnsi="宋体" w:eastAsia="宋体" w:cs="Times New Roman"/>
                <w:color w:val="333333"/>
                <w:kern w:val="0"/>
                <w:sz w:val="24"/>
                <w:szCs w:val="24"/>
              </w:rPr>
            </w:pPr>
          </w:p>
        </w:tc>
        <w:tc>
          <w:tcPr>
            <w:tcW w:w="2737" w:type="dxa"/>
            <w:tcMar>
              <w:top w:w="0" w:type="dxa"/>
              <w:left w:w="105" w:type="dxa"/>
              <w:bottom w:w="0" w:type="dxa"/>
              <w:right w:w="105" w:type="dxa"/>
            </w:tcMar>
          </w:tcPr>
          <w:p w14:paraId="0B7661B9">
            <w:pPr>
              <w:widowControl/>
              <w:jc w:val="center"/>
              <w:rPr>
                <w:rFonts w:hint="default" w:ascii="宋体" w:hAnsi="宋体" w:eastAsia="宋体" w:cs="Times New Roman"/>
                <w:color w:val="333333"/>
                <w:kern w:val="0"/>
                <w:sz w:val="24"/>
                <w:szCs w:val="24"/>
                <w:lang w:val="en-US" w:eastAsia="zh-CN"/>
              </w:rPr>
            </w:pPr>
            <w:r>
              <w:rPr>
                <w:rFonts w:hint="eastAsia" w:ascii="宋体" w:hAnsi="宋体" w:eastAsia="宋体" w:cs="Times New Roman"/>
                <w:color w:val="333333"/>
                <w:kern w:val="0"/>
                <w:sz w:val="24"/>
                <w:szCs w:val="24"/>
                <w:lang w:val="en-US" w:eastAsia="zh-CN"/>
              </w:rPr>
              <w:t>概率与数理统计</w:t>
            </w:r>
          </w:p>
        </w:tc>
        <w:tc>
          <w:tcPr>
            <w:tcW w:w="1340" w:type="dxa"/>
            <w:tcMar>
              <w:top w:w="0" w:type="dxa"/>
              <w:left w:w="105" w:type="dxa"/>
              <w:bottom w:w="0" w:type="dxa"/>
              <w:right w:w="105" w:type="dxa"/>
            </w:tcMar>
          </w:tcPr>
          <w:p w14:paraId="578F9FB7">
            <w:pPr>
              <w:widowControl/>
              <w:spacing w:line="360" w:lineRule="atLeast"/>
              <w:jc w:val="center"/>
              <w:rPr>
                <w:rFonts w:hint="default" w:ascii="宋体" w:hAnsi="宋体" w:eastAsia="宋体" w:cs="宋体"/>
                <w:color w:val="333333"/>
                <w:kern w:val="0"/>
                <w:sz w:val="24"/>
                <w:szCs w:val="24"/>
                <w:lang w:val="en-US" w:eastAsia="zh-CN"/>
              </w:rPr>
            </w:pPr>
            <w:r>
              <w:rPr>
                <w:rFonts w:hint="eastAsia" w:ascii="Times New Roman" w:hAnsi="Times New Roman" w:eastAsia="宋体" w:cs="Times New Roman"/>
                <w:color w:val="333333"/>
                <w:kern w:val="0"/>
                <w:sz w:val="24"/>
                <w:szCs w:val="24"/>
                <w:lang w:val="en-US" w:eastAsia="zh-CN"/>
              </w:rPr>
              <w:t>7</w:t>
            </w:r>
          </w:p>
        </w:tc>
        <w:tc>
          <w:tcPr>
            <w:tcW w:w="2853" w:type="dxa"/>
            <w:tcMar>
              <w:top w:w="0" w:type="dxa"/>
              <w:left w:w="105" w:type="dxa"/>
              <w:bottom w:w="0" w:type="dxa"/>
              <w:right w:w="105" w:type="dxa"/>
            </w:tcMar>
          </w:tcPr>
          <w:p w14:paraId="3BEF2172">
            <w:pPr>
              <w:widowControl/>
              <w:jc w:val="center"/>
              <w:rPr>
                <w:rFonts w:ascii="宋体" w:hAnsi="宋体" w:eastAsia="宋体" w:cs="宋体"/>
                <w:color w:val="333333"/>
                <w:kern w:val="0"/>
                <w:sz w:val="24"/>
                <w:szCs w:val="24"/>
              </w:rPr>
            </w:pPr>
            <w:r>
              <w:rPr>
                <w:rFonts w:hint="eastAsia" w:ascii="宋体" w:hAnsi="宋体" w:eastAsia="宋体" w:cs="宋体"/>
                <w:color w:val="333333"/>
                <w:kern w:val="0"/>
                <w:sz w:val="24"/>
                <w:szCs w:val="24"/>
              </w:rPr>
              <w:t>理学</w:t>
            </w:r>
            <w:r>
              <w:rPr>
                <w:rFonts w:hint="eastAsia" w:ascii="宋体" w:hAnsi="宋体" w:eastAsia="宋体" w:cs="宋体"/>
                <w:color w:val="333333"/>
                <w:kern w:val="0"/>
                <w:sz w:val="24"/>
                <w:szCs w:val="24"/>
                <w:lang w:val="en-US" w:eastAsia="zh-CN"/>
              </w:rPr>
              <w:t>硕士</w:t>
            </w:r>
          </w:p>
        </w:tc>
      </w:tr>
      <w:tr w14:paraId="03D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583" w:type="dxa"/>
            <w:vMerge w:val="continue"/>
            <w:tcMar>
              <w:top w:w="0" w:type="dxa"/>
              <w:left w:w="105" w:type="dxa"/>
              <w:bottom w:w="0" w:type="dxa"/>
              <w:right w:w="105" w:type="dxa"/>
            </w:tcMar>
          </w:tcPr>
          <w:p w14:paraId="13A1AFCB">
            <w:pPr>
              <w:widowControl/>
              <w:jc w:val="center"/>
              <w:rPr>
                <w:rFonts w:hint="eastAsia" w:ascii="宋体" w:hAnsi="宋体" w:eastAsia="宋体" w:cs="Times New Roman"/>
                <w:color w:val="333333"/>
                <w:kern w:val="0"/>
                <w:sz w:val="24"/>
                <w:szCs w:val="24"/>
              </w:rPr>
            </w:pPr>
          </w:p>
        </w:tc>
        <w:tc>
          <w:tcPr>
            <w:tcW w:w="2737" w:type="dxa"/>
            <w:tcMar>
              <w:top w:w="0" w:type="dxa"/>
              <w:left w:w="105" w:type="dxa"/>
              <w:bottom w:w="0" w:type="dxa"/>
              <w:right w:w="105" w:type="dxa"/>
            </w:tcMar>
          </w:tcPr>
          <w:p w14:paraId="079D3F94">
            <w:pPr>
              <w:widowControl/>
              <w:jc w:val="center"/>
              <w:rPr>
                <w:rFonts w:hint="default" w:ascii="宋体" w:hAnsi="宋体" w:eastAsia="宋体" w:cs="Times New Roman"/>
                <w:color w:val="333333"/>
                <w:kern w:val="0"/>
                <w:sz w:val="24"/>
                <w:szCs w:val="24"/>
                <w:lang w:val="en-US" w:eastAsia="zh-CN"/>
              </w:rPr>
            </w:pPr>
            <w:r>
              <w:rPr>
                <w:rFonts w:hint="eastAsia" w:ascii="宋体" w:hAnsi="宋体" w:eastAsia="宋体" w:cs="Times New Roman"/>
                <w:color w:val="333333"/>
                <w:kern w:val="0"/>
                <w:sz w:val="24"/>
                <w:szCs w:val="24"/>
                <w:lang w:val="en-US" w:eastAsia="zh-CN"/>
              </w:rPr>
              <w:t>计算数学</w:t>
            </w:r>
          </w:p>
        </w:tc>
        <w:tc>
          <w:tcPr>
            <w:tcW w:w="1340" w:type="dxa"/>
            <w:tcMar>
              <w:top w:w="0" w:type="dxa"/>
              <w:left w:w="105" w:type="dxa"/>
              <w:bottom w:w="0" w:type="dxa"/>
              <w:right w:w="105" w:type="dxa"/>
            </w:tcMar>
          </w:tcPr>
          <w:p w14:paraId="077D0A9E">
            <w:pPr>
              <w:widowControl/>
              <w:spacing w:line="360" w:lineRule="atLeast"/>
              <w:jc w:val="center"/>
              <w:rPr>
                <w:rFonts w:hint="default" w:ascii="Times New Roman" w:hAnsi="Times New Roman" w:eastAsia="宋体" w:cs="Times New Roman"/>
                <w:color w:val="333333"/>
                <w:kern w:val="0"/>
                <w:sz w:val="24"/>
                <w:szCs w:val="24"/>
                <w:lang w:val="en-US" w:eastAsia="zh-CN"/>
              </w:rPr>
            </w:pPr>
            <w:r>
              <w:rPr>
                <w:rFonts w:hint="eastAsia" w:ascii="Times New Roman" w:hAnsi="Times New Roman" w:eastAsia="宋体" w:cs="Times New Roman"/>
                <w:color w:val="333333"/>
                <w:kern w:val="0"/>
                <w:sz w:val="24"/>
                <w:szCs w:val="24"/>
                <w:lang w:val="en-US" w:eastAsia="zh-CN"/>
              </w:rPr>
              <w:t>5</w:t>
            </w:r>
          </w:p>
        </w:tc>
        <w:tc>
          <w:tcPr>
            <w:tcW w:w="2853" w:type="dxa"/>
            <w:tcMar>
              <w:top w:w="0" w:type="dxa"/>
              <w:left w:w="105" w:type="dxa"/>
              <w:bottom w:w="0" w:type="dxa"/>
              <w:right w:w="105" w:type="dxa"/>
            </w:tcMar>
          </w:tcPr>
          <w:p w14:paraId="63AFB245">
            <w:pPr>
              <w:widowControl/>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理学</w:t>
            </w:r>
            <w:r>
              <w:rPr>
                <w:rFonts w:hint="eastAsia" w:ascii="宋体" w:hAnsi="宋体" w:eastAsia="宋体" w:cs="宋体"/>
                <w:color w:val="333333"/>
                <w:kern w:val="0"/>
                <w:sz w:val="24"/>
                <w:szCs w:val="24"/>
                <w:lang w:val="en-US" w:eastAsia="zh-CN"/>
              </w:rPr>
              <w:t>硕士</w:t>
            </w:r>
          </w:p>
        </w:tc>
      </w:tr>
      <w:tr w14:paraId="24C52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583" w:type="dxa"/>
            <w:vMerge w:val="continue"/>
            <w:tcMar>
              <w:top w:w="0" w:type="dxa"/>
              <w:left w:w="105" w:type="dxa"/>
              <w:bottom w:w="0" w:type="dxa"/>
              <w:right w:w="105" w:type="dxa"/>
            </w:tcMar>
          </w:tcPr>
          <w:p w14:paraId="6E5ABC04">
            <w:pPr>
              <w:widowControl/>
              <w:jc w:val="center"/>
              <w:rPr>
                <w:rFonts w:hint="eastAsia" w:ascii="宋体" w:hAnsi="宋体" w:eastAsia="宋体" w:cs="Times New Roman"/>
                <w:color w:val="333333"/>
                <w:kern w:val="0"/>
                <w:sz w:val="24"/>
                <w:szCs w:val="24"/>
              </w:rPr>
            </w:pPr>
          </w:p>
        </w:tc>
        <w:tc>
          <w:tcPr>
            <w:tcW w:w="2737" w:type="dxa"/>
            <w:tcMar>
              <w:top w:w="0" w:type="dxa"/>
              <w:left w:w="105" w:type="dxa"/>
              <w:bottom w:w="0" w:type="dxa"/>
              <w:right w:w="105" w:type="dxa"/>
            </w:tcMar>
          </w:tcPr>
          <w:p w14:paraId="4448AD7C">
            <w:pPr>
              <w:widowControl/>
              <w:jc w:val="center"/>
              <w:rPr>
                <w:rFonts w:hint="default" w:ascii="宋体" w:hAnsi="宋体" w:eastAsia="宋体" w:cs="Times New Roman"/>
                <w:color w:val="333333"/>
                <w:kern w:val="0"/>
                <w:sz w:val="24"/>
                <w:szCs w:val="24"/>
                <w:lang w:val="en-US" w:eastAsia="zh-CN"/>
              </w:rPr>
            </w:pPr>
            <w:r>
              <w:rPr>
                <w:rFonts w:hint="eastAsia" w:ascii="宋体" w:hAnsi="宋体" w:eastAsia="宋体" w:cs="Times New Roman"/>
                <w:color w:val="333333"/>
                <w:kern w:val="0"/>
                <w:sz w:val="24"/>
                <w:szCs w:val="24"/>
                <w:lang w:val="en-US" w:eastAsia="zh-CN"/>
              </w:rPr>
              <w:t>学科教学（数学）</w:t>
            </w:r>
          </w:p>
        </w:tc>
        <w:tc>
          <w:tcPr>
            <w:tcW w:w="1340" w:type="dxa"/>
            <w:tcMar>
              <w:top w:w="0" w:type="dxa"/>
              <w:left w:w="105" w:type="dxa"/>
              <w:bottom w:w="0" w:type="dxa"/>
              <w:right w:w="105" w:type="dxa"/>
            </w:tcMar>
          </w:tcPr>
          <w:p w14:paraId="5EEE3B43">
            <w:pPr>
              <w:widowControl/>
              <w:spacing w:line="360" w:lineRule="atLeast"/>
              <w:jc w:val="center"/>
              <w:rPr>
                <w:rFonts w:hint="default" w:ascii="Times New Roman" w:hAnsi="Times New Roman" w:eastAsia="宋体" w:cs="Times New Roman"/>
                <w:color w:val="333333"/>
                <w:kern w:val="0"/>
                <w:sz w:val="24"/>
                <w:szCs w:val="24"/>
                <w:lang w:val="en-US" w:eastAsia="zh-CN"/>
              </w:rPr>
            </w:pPr>
            <w:r>
              <w:rPr>
                <w:rFonts w:hint="eastAsia" w:ascii="Times New Roman" w:hAnsi="Times New Roman" w:eastAsia="宋体" w:cs="Times New Roman"/>
                <w:color w:val="333333"/>
                <w:kern w:val="0"/>
                <w:sz w:val="24"/>
                <w:szCs w:val="24"/>
                <w:lang w:val="en-US" w:eastAsia="zh-CN"/>
              </w:rPr>
              <w:t>1</w:t>
            </w:r>
          </w:p>
        </w:tc>
        <w:tc>
          <w:tcPr>
            <w:tcW w:w="2853" w:type="dxa"/>
            <w:tcMar>
              <w:top w:w="0" w:type="dxa"/>
              <w:left w:w="105" w:type="dxa"/>
              <w:bottom w:w="0" w:type="dxa"/>
              <w:right w:w="105" w:type="dxa"/>
            </w:tcMar>
          </w:tcPr>
          <w:p w14:paraId="3DA83871">
            <w:pPr>
              <w:widowControl/>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lang w:val="en-US" w:eastAsia="zh-CN"/>
              </w:rPr>
              <w:t>教育硕士</w:t>
            </w:r>
          </w:p>
        </w:tc>
      </w:tr>
      <w:tr w14:paraId="57135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583" w:type="dxa"/>
            <w:vMerge w:val="continue"/>
            <w:tcMar>
              <w:top w:w="0" w:type="dxa"/>
              <w:left w:w="105" w:type="dxa"/>
              <w:bottom w:w="0" w:type="dxa"/>
              <w:right w:w="105" w:type="dxa"/>
            </w:tcMar>
          </w:tcPr>
          <w:p w14:paraId="168EB12A">
            <w:pPr>
              <w:widowControl/>
              <w:jc w:val="center"/>
              <w:rPr>
                <w:rFonts w:hint="eastAsia" w:ascii="宋体" w:hAnsi="宋体" w:eastAsia="宋体" w:cs="Times New Roman"/>
                <w:color w:val="333333"/>
                <w:kern w:val="0"/>
                <w:sz w:val="24"/>
                <w:szCs w:val="24"/>
              </w:rPr>
            </w:pPr>
          </w:p>
        </w:tc>
        <w:tc>
          <w:tcPr>
            <w:tcW w:w="2737" w:type="dxa"/>
            <w:tcMar>
              <w:top w:w="0" w:type="dxa"/>
              <w:left w:w="105" w:type="dxa"/>
              <w:bottom w:w="0" w:type="dxa"/>
              <w:right w:w="105" w:type="dxa"/>
            </w:tcMar>
          </w:tcPr>
          <w:p w14:paraId="2EF8D608">
            <w:pPr>
              <w:widowControl/>
              <w:jc w:val="center"/>
              <w:rPr>
                <w:rFonts w:hint="default" w:ascii="宋体" w:hAnsi="宋体" w:eastAsia="宋体" w:cs="Times New Roman"/>
                <w:color w:val="333333"/>
                <w:kern w:val="0"/>
                <w:sz w:val="24"/>
                <w:szCs w:val="24"/>
                <w:lang w:val="en-US" w:eastAsia="zh-CN"/>
              </w:rPr>
            </w:pPr>
            <w:r>
              <w:rPr>
                <w:rFonts w:hint="eastAsia" w:ascii="宋体" w:hAnsi="宋体" w:eastAsia="宋体" w:cs="Times New Roman"/>
                <w:color w:val="333333"/>
                <w:kern w:val="0"/>
                <w:sz w:val="24"/>
                <w:szCs w:val="24"/>
                <w:lang w:val="en-US" w:eastAsia="zh-CN"/>
              </w:rPr>
              <w:t>农硕(学科教学(数学))</w:t>
            </w:r>
          </w:p>
        </w:tc>
        <w:tc>
          <w:tcPr>
            <w:tcW w:w="1340" w:type="dxa"/>
            <w:tcMar>
              <w:top w:w="0" w:type="dxa"/>
              <w:left w:w="105" w:type="dxa"/>
              <w:bottom w:w="0" w:type="dxa"/>
              <w:right w:w="105" w:type="dxa"/>
            </w:tcMar>
          </w:tcPr>
          <w:p w14:paraId="0A71F4C0">
            <w:pPr>
              <w:widowControl/>
              <w:spacing w:line="360" w:lineRule="atLeast"/>
              <w:jc w:val="center"/>
              <w:rPr>
                <w:rFonts w:hint="default" w:ascii="Times New Roman" w:hAnsi="Times New Roman" w:eastAsia="宋体" w:cs="Times New Roman"/>
                <w:color w:val="333333"/>
                <w:kern w:val="0"/>
                <w:sz w:val="24"/>
                <w:szCs w:val="24"/>
                <w:lang w:val="en-US" w:eastAsia="zh-CN"/>
              </w:rPr>
            </w:pPr>
            <w:r>
              <w:rPr>
                <w:rFonts w:hint="eastAsia" w:ascii="Times New Roman" w:hAnsi="Times New Roman" w:eastAsia="宋体" w:cs="Times New Roman"/>
                <w:color w:val="333333"/>
                <w:kern w:val="0"/>
                <w:sz w:val="24"/>
                <w:szCs w:val="24"/>
                <w:lang w:val="en-US" w:eastAsia="zh-CN"/>
              </w:rPr>
              <w:t>8</w:t>
            </w:r>
          </w:p>
        </w:tc>
        <w:tc>
          <w:tcPr>
            <w:tcW w:w="2853" w:type="dxa"/>
            <w:tcMar>
              <w:top w:w="0" w:type="dxa"/>
              <w:left w:w="105" w:type="dxa"/>
              <w:bottom w:w="0" w:type="dxa"/>
              <w:right w:w="105" w:type="dxa"/>
            </w:tcMar>
          </w:tcPr>
          <w:p w14:paraId="3A546F1C">
            <w:pPr>
              <w:widowControl/>
              <w:jc w:val="center"/>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lang w:val="en-US" w:eastAsia="zh-CN"/>
              </w:rPr>
              <w:t>教育硕士</w:t>
            </w:r>
          </w:p>
        </w:tc>
      </w:tr>
      <w:tr w14:paraId="6E3F4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583" w:type="dxa"/>
            <w:vMerge w:val="restart"/>
            <w:tcMar>
              <w:top w:w="0" w:type="dxa"/>
              <w:left w:w="105" w:type="dxa"/>
              <w:bottom w:w="0" w:type="dxa"/>
              <w:right w:w="105" w:type="dxa"/>
            </w:tcMar>
            <w:vAlign w:val="center"/>
          </w:tcPr>
          <w:p w14:paraId="64B11D77">
            <w:pPr>
              <w:widowControl/>
              <w:jc w:val="center"/>
              <w:rPr>
                <w:rFonts w:hint="default" w:ascii="宋体" w:hAnsi="宋体" w:eastAsia="宋体" w:cs="Times New Roman"/>
                <w:color w:val="333333"/>
                <w:kern w:val="0"/>
                <w:sz w:val="24"/>
                <w:szCs w:val="24"/>
                <w:lang w:val="en-US" w:eastAsia="zh-CN"/>
              </w:rPr>
            </w:pPr>
            <w:r>
              <w:rPr>
                <w:rFonts w:hint="eastAsia" w:ascii="宋体" w:hAnsi="宋体" w:eastAsia="宋体" w:cs="Times New Roman"/>
                <w:color w:val="333333"/>
                <w:kern w:val="0"/>
                <w:sz w:val="24"/>
                <w:szCs w:val="24"/>
                <w:lang w:val="en-US" w:eastAsia="zh-CN"/>
              </w:rPr>
              <w:t>本科</w:t>
            </w:r>
          </w:p>
        </w:tc>
        <w:tc>
          <w:tcPr>
            <w:tcW w:w="2737" w:type="dxa"/>
            <w:shd w:val="clear" w:color="auto" w:fill="auto"/>
            <w:tcMar>
              <w:top w:w="0" w:type="dxa"/>
              <w:left w:w="105" w:type="dxa"/>
              <w:bottom w:w="0" w:type="dxa"/>
              <w:right w:w="105" w:type="dxa"/>
            </w:tcMar>
            <w:vAlign w:val="top"/>
          </w:tcPr>
          <w:p w14:paraId="234B86C8">
            <w:pPr>
              <w:widowControl/>
              <w:jc w:val="center"/>
              <w:rPr>
                <w:rFonts w:hint="eastAsia" w:ascii="宋体" w:hAnsi="宋体" w:eastAsia="宋体" w:cs="宋体"/>
                <w:color w:val="333333"/>
                <w:kern w:val="0"/>
                <w:sz w:val="24"/>
                <w:szCs w:val="24"/>
                <w:lang w:val="en-US" w:eastAsia="zh-CN" w:bidi="ar-SA"/>
                <w14:ligatures w14:val="none"/>
              </w:rPr>
            </w:pPr>
            <w:r>
              <w:rPr>
                <w:rFonts w:hint="eastAsia" w:ascii="宋体" w:hAnsi="宋体" w:eastAsia="宋体" w:cs="Times New Roman"/>
                <w:color w:val="333333"/>
                <w:kern w:val="0"/>
                <w:sz w:val="24"/>
                <w:szCs w:val="24"/>
              </w:rPr>
              <w:t>数学与应用数学</w:t>
            </w:r>
          </w:p>
        </w:tc>
        <w:tc>
          <w:tcPr>
            <w:tcW w:w="1340" w:type="dxa"/>
            <w:shd w:val="clear" w:color="auto" w:fill="auto"/>
            <w:tcMar>
              <w:top w:w="0" w:type="dxa"/>
              <w:left w:w="105" w:type="dxa"/>
              <w:bottom w:w="0" w:type="dxa"/>
              <w:right w:w="105" w:type="dxa"/>
            </w:tcMar>
            <w:vAlign w:val="top"/>
          </w:tcPr>
          <w:p w14:paraId="77DDF38F">
            <w:pPr>
              <w:widowControl/>
              <w:spacing w:line="360" w:lineRule="atLeast"/>
              <w:jc w:val="center"/>
              <w:rPr>
                <w:rFonts w:hint="eastAsia" w:ascii="宋体" w:hAnsi="宋体" w:eastAsia="宋体" w:cs="宋体"/>
                <w:color w:val="333333"/>
                <w:kern w:val="0"/>
                <w:sz w:val="24"/>
                <w:szCs w:val="24"/>
                <w:lang w:val="en-US" w:eastAsia="zh-CN" w:bidi="ar-SA"/>
                <w14:ligatures w14:val="none"/>
              </w:rPr>
            </w:pPr>
            <w:r>
              <w:rPr>
                <w:rFonts w:hint="eastAsia" w:ascii="Times New Roman" w:hAnsi="Times New Roman" w:eastAsia="宋体" w:cs="Times New Roman"/>
                <w:color w:val="333333"/>
                <w:kern w:val="0"/>
                <w:sz w:val="24"/>
                <w:szCs w:val="24"/>
                <w:lang w:val="en-US" w:eastAsia="zh-CN"/>
              </w:rPr>
              <w:t>228</w:t>
            </w:r>
          </w:p>
        </w:tc>
        <w:tc>
          <w:tcPr>
            <w:tcW w:w="2853" w:type="dxa"/>
            <w:shd w:val="clear" w:color="auto" w:fill="auto"/>
            <w:tcMar>
              <w:top w:w="0" w:type="dxa"/>
              <w:left w:w="105" w:type="dxa"/>
              <w:bottom w:w="0" w:type="dxa"/>
              <w:right w:w="105" w:type="dxa"/>
            </w:tcMar>
            <w:vAlign w:val="top"/>
          </w:tcPr>
          <w:p w14:paraId="0F11BFF7">
            <w:pPr>
              <w:widowControl/>
              <w:jc w:val="center"/>
              <w:rPr>
                <w:rFonts w:hint="eastAsia" w:ascii="宋体" w:hAnsi="宋体" w:eastAsia="宋体" w:cs="宋体"/>
                <w:color w:val="333333"/>
                <w:kern w:val="0"/>
                <w:sz w:val="24"/>
                <w:szCs w:val="24"/>
                <w:lang w:val="en-US" w:eastAsia="zh-CN" w:bidi="ar-SA"/>
                <w14:ligatures w14:val="none"/>
              </w:rPr>
            </w:pPr>
            <w:r>
              <w:rPr>
                <w:rFonts w:hint="eastAsia" w:ascii="宋体" w:hAnsi="宋体" w:eastAsia="宋体" w:cs="宋体"/>
                <w:color w:val="333333"/>
                <w:kern w:val="0"/>
                <w:sz w:val="24"/>
                <w:szCs w:val="24"/>
              </w:rPr>
              <w:t>理学学士</w:t>
            </w:r>
          </w:p>
        </w:tc>
      </w:tr>
      <w:tr w14:paraId="2C28B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583" w:type="dxa"/>
            <w:vMerge w:val="continue"/>
            <w:tcMar>
              <w:top w:w="0" w:type="dxa"/>
              <w:left w:w="105" w:type="dxa"/>
              <w:bottom w:w="0" w:type="dxa"/>
              <w:right w:w="105" w:type="dxa"/>
            </w:tcMar>
          </w:tcPr>
          <w:p w14:paraId="671E3203">
            <w:pPr>
              <w:widowControl/>
              <w:jc w:val="center"/>
              <w:rPr>
                <w:rFonts w:hint="eastAsia" w:ascii="宋体" w:hAnsi="宋体" w:eastAsia="宋体" w:cs="Times New Roman"/>
                <w:color w:val="333333"/>
                <w:kern w:val="0"/>
                <w:sz w:val="24"/>
                <w:szCs w:val="24"/>
              </w:rPr>
            </w:pPr>
          </w:p>
        </w:tc>
        <w:tc>
          <w:tcPr>
            <w:tcW w:w="2737" w:type="dxa"/>
            <w:shd w:val="clear" w:color="auto" w:fill="auto"/>
            <w:tcMar>
              <w:top w:w="0" w:type="dxa"/>
              <w:left w:w="105" w:type="dxa"/>
              <w:bottom w:w="0" w:type="dxa"/>
              <w:right w:w="105" w:type="dxa"/>
            </w:tcMar>
            <w:vAlign w:val="top"/>
          </w:tcPr>
          <w:p w14:paraId="448D9B79">
            <w:pPr>
              <w:widowControl/>
              <w:jc w:val="center"/>
              <w:rPr>
                <w:rFonts w:hint="eastAsia" w:ascii="宋体" w:hAnsi="宋体" w:eastAsia="宋体" w:cs="宋体"/>
                <w:color w:val="333333"/>
                <w:kern w:val="0"/>
                <w:sz w:val="24"/>
                <w:szCs w:val="24"/>
                <w:lang w:val="en-US" w:eastAsia="zh-CN" w:bidi="ar-SA"/>
                <w14:ligatures w14:val="none"/>
              </w:rPr>
            </w:pPr>
            <w:r>
              <w:rPr>
                <w:rFonts w:hint="eastAsia" w:ascii="宋体" w:hAnsi="宋体" w:eastAsia="宋体" w:cs="Times New Roman"/>
                <w:color w:val="333333"/>
                <w:kern w:val="0"/>
                <w:sz w:val="24"/>
                <w:szCs w:val="24"/>
              </w:rPr>
              <w:t>应用统计学</w:t>
            </w:r>
          </w:p>
        </w:tc>
        <w:tc>
          <w:tcPr>
            <w:tcW w:w="1340" w:type="dxa"/>
            <w:shd w:val="clear" w:color="auto" w:fill="auto"/>
            <w:tcMar>
              <w:top w:w="0" w:type="dxa"/>
              <w:left w:w="105" w:type="dxa"/>
              <w:bottom w:w="0" w:type="dxa"/>
              <w:right w:w="105" w:type="dxa"/>
            </w:tcMar>
            <w:vAlign w:val="top"/>
          </w:tcPr>
          <w:p w14:paraId="3291D683">
            <w:pPr>
              <w:widowControl/>
              <w:spacing w:line="360" w:lineRule="atLeast"/>
              <w:jc w:val="center"/>
              <w:rPr>
                <w:rFonts w:hint="eastAsia" w:ascii="Times New Roman" w:hAnsi="Times New Roman" w:eastAsia="宋体" w:cs="Times New Roman"/>
                <w:color w:val="333333"/>
                <w:kern w:val="0"/>
                <w:sz w:val="24"/>
                <w:szCs w:val="24"/>
                <w:lang w:val="en-US" w:eastAsia="zh-CN" w:bidi="ar-SA"/>
                <w14:ligatures w14:val="none"/>
              </w:rPr>
            </w:pPr>
            <w:r>
              <w:rPr>
                <w:rFonts w:hint="eastAsia" w:ascii="Times New Roman" w:hAnsi="Times New Roman" w:eastAsia="宋体" w:cs="Times New Roman"/>
                <w:color w:val="333333"/>
                <w:kern w:val="0"/>
                <w:sz w:val="24"/>
                <w:szCs w:val="24"/>
                <w:lang w:val="en-US" w:eastAsia="zh-CN"/>
              </w:rPr>
              <w:t>34</w:t>
            </w:r>
          </w:p>
        </w:tc>
        <w:tc>
          <w:tcPr>
            <w:tcW w:w="2853" w:type="dxa"/>
            <w:shd w:val="clear" w:color="auto" w:fill="auto"/>
            <w:tcMar>
              <w:top w:w="0" w:type="dxa"/>
              <w:left w:w="105" w:type="dxa"/>
              <w:bottom w:w="0" w:type="dxa"/>
              <w:right w:w="105" w:type="dxa"/>
            </w:tcMar>
            <w:vAlign w:val="top"/>
          </w:tcPr>
          <w:p w14:paraId="24DE1E48">
            <w:pPr>
              <w:widowControl/>
              <w:jc w:val="center"/>
              <w:rPr>
                <w:rFonts w:hint="eastAsia" w:ascii="宋体" w:hAnsi="宋体" w:eastAsia="宋体" w:cs="宋体"/>
                <w:color w:val="333333"/>
                <w:kern w:val="0"/>
                <w:sz w:val="24"/>
                <w:szCs w:val="24"/>
                <w:lang w:val="en-US" w:eastAsia="zh-CN" w:bidi="ar-SA"/>
                <w14:ligatures w14:val="none"/>
              </w:rPr>
            </w:pPr>
            <w:r>
              <w:rPr>
                <w:rFonts w:hint="eastAsia" w:ascii="宋体" w:hAnsi="宋体" w:eastAsia="宋体" w:cs="宋体"/>
                <w:color w:val="333333"/>
                <w:kern w:val="0"/>
                <w:sz w:val="24"/>
                <w:szCs w:val="24"/>
              </w:rPr>
              <w:t>理学学士</w:t>
            </w:r>
          </w:p>
        </w:tc>
      </w:tr>
      <w:tr w14:paraId="5ABE3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1583" w:type="dxa"/>
            <w:vMerge w:val="continue"/>
            <w:tcMar>
              <w:top w:w="0" w:type="dxa"/>
              <w:left w:w="105" w:type="dxa"/>
              <w:bottom w:w="0" w:type="dxa"/>
              <w:right w:w="105" w:type="dxa"/>
            </w:tcMar>
          </w:tcPr>
          <w:p w14:paraId="4D2FBFFD">
            <w:pPr>
              <w:widowControl/>
              <w:jc w:val="center"/>
              <w:rPr>
                <w:rFonts w:hint="eastAsia" w:ascii="宋体" w:hAnsi="宋体" w:eastAsia="宋体" w:cs="Times New Roman"/>
                <w:color w:val="333333"/>
                <w:kern w:val="0"/>
                <w:sz w:val="24"/>
                <w:szCs w:val="24"/>
              </w:rPr>
            </w:pPr>
          </w:p>
        </w:tc>
        <w:tc>
          <w:tcPr>
            <w:tcW w:w="2737" w:type="dxa"/>
            <w:shd w:val="clear" w:color="auto" w:fill="auto"/>
            <w:tcMar>
              <w:top w:w="0" w:type="dxa"/>
              <w:left w:w="105" w:type="dxa"/>
              <w:bottom w:w="0" w:type="dxa"/>
              <w:right w:w="105" w:type="dxa"/>
            </w:tcMar>
            <w:vAlign w:val="top"/>
          </w:tcPr>
          <w:p w14:paraId="1D507F84">
            <w:pPr>
              <w:widowControl/>
              <w:jc w:val="center"/>
              <w:rPr>
                <w:rFonts w:hint="eastAsia" w:ascii="宋体" w:hAnsi="宋体" w:eastAsia="宋体" w:cs="宋体"/>
                <w:color w:val="333333"/>
                <w:kern w:val="0"/>
                <w:sz w:val="24"/>
                <w:szCs w:val="24"/>
                <w:lang w:val="en-US" w:eastAsia="zh-CN" w:bidi="ar-SA"/>
                <w14:ligatures w14:val="none"/>
              </w:rPr>
            </w:pPr>
            <w:r>
              <w:rPr>
                <w:rFonts w:hint="eastAsia" w:ascii="宋体" w:hAnsi="宋体" w:eastAsia="宋体" w:cs="Times New Roman"/>
                <w:color w:val="333333"/>
                <w:kern w:val="0"/>
                <w:sz w:val="24"/>
                <w:szCs w:val="24"/>
              </w:rPr>
              <w:t>金融数学</w:t>
            </w:r>
          </w:p>
        </w:tc>
        <w:tc>
          <w:tcPr>
            <w:tcW w:w="1340" w:type="dxa"/>
            <w:shd w:val="clear" w:color="auto" w:fill="auto"/>
            <w:tcMar>
              <w:top w:w="0" w:type="dxa"/>
              <w:left w:w="105" w:type="dxa"/>
              <w:bottom w:w="0" w:type="dxa"/>
              <w:right w:w="105" w:type="dxa"/>
            </w:tcMar>
            <w:vAlign w:val="top"/>
          </w:tcPr>
          <w:p w14:paraId="4776EF50">
            <w:pPr>
              <w:widowControl/>
              <w:spacing w:line="360" w:lineRule="atLeast"/>
              <w:jc w:val="center"/>
              <w:rPr>
                <w:rFonts w:hint="eastAsia" w:ascii="宋体" w:hAnsi="宋体" w:eastAsia="宋体" w:cs="宋体"/>
                <w:color w:val="333333"/>
                <w:kern w:val="0"/>
                <w:sz w:val="24"/>
                <w:szCs w:val="24"/>
                <w:lang w:val="en-US" w:eastAsia="zh-CN" w:bidi="ar-SA"/>
                <w14:ligatures w14:val="none"/>
              </w:rPr>
            </w:pPr>
            <w:r>
              <w:rPr>
                <w:rFonts w:hint="eastAsia" w:ascii="Times New Roman" w:hAnsi="Times New Roman" w:eastAsia="宋体" w:cs="Times New Roman"/>
                <w:color w:val="333333"/>
                <w:kern w:val="0"/>
                <w:sz w:val="24"/>
                <w:szCs w:val="24"/>
                <w:lang w:val="en-US" w:eastAsia="zh-CN"/>
              </w:rPr>
              <w:t>37</w:t>
            </w:r>
          </w:p>
        </w:tc>
        <w:tc>
          <w:tcPr>
            <w:tcW w:w="2853" w:type="dxa"/>
            <w:shd w:val="clear" w:color="auto" w:fill="auto"/>
            <w:tcMar>
              <w:top w:w="0" w:type="dxa"/>
              <w:left w:w="105" w:type="dxa"/>
              <w:bottom w:w="0" w:type="dxa"/>
              <w:right w:w="105" w:type="dxa"/>
            </w:tcMar>
            <w:vAlign w:val="top"/>
          </w:tcPr>
          <w:p w14:paraId="51CBF423">
            <w:pPr>
              <w:widowControl/>
              <w:jc w:val="center"/>
              <w:rPr>
                <w:rFonts w:hint="eastAsia" w:ascii="宋体" w:hAnsi="宋体" w:eastAsia="宋体" w:cs="宋体"/>
                <w:color w:val="333333"/>
                <w:kern w:val="0"/>
                <w:sz w:val="24"/>
                <w:szCs w:val="24"/>
                <w:lang w:val="en-US" w:eastAsia="zh-CN" w:bidi="ar-SA"/>
                <w14:ligatures w14:val="none"/>
              </w:rPr>
            </w:pPr>
            <w:r>
              <w:rPr>
                <w:rFonts w:hint="eastAsia" w:ascii="宋体" w:hAnsi="宋体" w:eastAsia="宋体" w:cs="宋体"/>
                <w:color w:val="333333"/>
                <w:kern w:val="0"/>
                <w:sz w:val="24"/>
                <w:szCs w:val="24"/>
              </w:rPr>
              <w:t>经济学学士</w:t>
            </w:r>
          </w:p>
        </w:tc>
      </w:tr>
    </w:tbl>
    <w:p w14:paraId="6DB35B7D">
      <w:pPr>
        <w:keepNext w:val="0"/>
        <w:keepLines w:val="0"/>
        <w:pageBreakBefore w:val="0"/>
        <w:widowControl/>
        <w:numPr>
          <w:ilvl w:val="0"/>
          <w:numId w:val="0"/>
        </w:numPr>
        <w:kinsoku/>
        <w:wordWrap/>
        <w:overflowPunct/>
        <w:topLinePunct w:val="0"/>
        <w:autoSpaceDE/>
        <w:autoSpaceDN/>
        <w:bidi w:val="0"/>
        <w:adjustRightInd/>
        <w:snapToGrid/>
        <w:spacing w:before="157" w:beforeLines="50" w:line="480" w:lineRule="auto"/>
        <w:ind w:left="0" w:firstLine="582" w:firstLineChars="200"/>
        <w:textAlignment w:val="auto"/>
        <w:rPr>
          <w:rFonts w:hint="eastAsia" w:ascii="宋体" w:hAnsi="宋体" w:eastAsia="宋体" w:cs="Calibri"/>
          <w:b/>
          <w:bCs/>
          <w:color w:val="333333"/>
          <w:kern w:val="0"/>
          <w:sz w:val="29"/>
          <w:szCs w:val="29"/>
        </w:rPr>
      </w:pPr>
      <w:r>
        <w:rPr>
          <w:rFonts w:hint="eastAsia" w:ascii="宋体" w:hAnsi="宋体" w:eastAsia="宋体" w:cs="Calibri"/>
          <w:b/>
          <w:bCs/>
          <w:color w:val="333333"/>
          <w:kern w:val="0"/>
          <w:sz w:val="29"/>
          <w:szCs w:val="29"/>
          <w:lang w:val="en-US" w:eastAsia="zh-CN"/>
        </w:rPr>
        <w:t>二、硕士研究生</w:t>
      </w:r>
      <w:r>
        <w:rPr>
          <w:rFonts w:hint="eastAsia" w:ascii="宋体" w:hAnsi="宋体" w:eastAsia="宋体" w:cs="Calibri"/>
          <w:b/>
          <w:bCs/>
          <w:color w:val="333333"/>
          <w:kern w:val="0"/>
          <w:sz w:val="29"/>
          <w:szCs w:val="29"/>
        </w:rPr>
        <w:t>专业介绍</w:t>
      </w:r>
    </w:p>
    <w:p w14:paraId="722A26F7">
      <w:pPr>
        <w:keepNext w:val="0"/>
        <w:keepLines w:val="0"/>
        <w:pageBreakBefore w:val="0"/>
        <w:widowControl/>
        <w:kinsoku/>
        <w:wordWrap/>
        <w:overflowPunct/>
        <w:topLinePunct w:val="0"/>
        <w:autoSpaceDE/>
        <w:autoSpaceDN/>
        <w:bidi w:val="0"/>
        <w:adjustRightInd/>
        <w:snapToGrid/>
        <w:ind w:firstLine="556"/>
        <w:textAlignment w:val="auto"/>
        <w:rPr>
          <w:rFonts w:hint="eastAsia" w:ascii="微软雅黑" w:hAnsi="微软雅黑" w:eastAsia="微软雅黑" w:cs="宋体"/>
          <w:color w:val="333333"/>
          <w:kern w:val="0"/>
          <w:sz w:val="24"/>
          <w:szCs w:val="24"/>
        </w:rPr>
      </w:pPr>
      <w:r>
        <w:rPr>
          <w:rFonts w:hint="eastAsia" w:ascii="宋体" w:hAnsi="宋体" w:eastAsia="宋体" w:cs="宋体"/>
          <w:color w:val="333333"/>
          <w:kern w:val="0"/>
          <w:sz w:val="29"/>
          <w:szCs w:val="29"/>
        </w:rPr>
        <w:t>（一）</w:t>
      </w:r>
      <w:r>
        <w:rPr>
          <w:rFonts w:hint="eastAsia" w:ascii="宋体" w:hAnsi="宋体" w:eastAsia="宋体" w:cs="Calibri"/>
          <w:color w:val="333333"/>
          <w:kern w:val="0"/>
          <w:sz w:val="29"/>
          <w:szCs w:val="29"/>
        </w:rPr>
        <w:t>基础数学专业</w:t>
      </w:r>
    </w:p>
    <w:p w14:paraId="5625C27F">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基础数学主要研究方向：代数学，拓扑学、泛函分析及其应用和图论与组合数学。学术型，学制三年，授理学硕士学位。</w:t>
      </w:r>
    </w:p>
    <w:p w14:paraId="01A36A37">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基础数学专业以系统理论学习和科研实践为培养路径，旨在让学生具备扎实数学基础、较广知识面，拥有一定独立科研能力，能熟练掌握一门外语并阅读本专业外文资料</w:t>
      </w:r>
      <w:r>
        <w:rPr>
          <w:rFonts w:hint="eastAsia" w:ascii="仿宋_GB2312" w:hAnsi="仿宋_GB2312" w:eastAsia="仿宋_GB2312" w:cs="仿宋_GB2312"/>
          <w:color w:val="333333"/>
          <w:kern w:val="0"/>
          <w:sz w:val="28"/>
          <w:szCs w:val="28"/>
          <w:lang w:eastAsia="zh-CN"/>
        </w:rPr>
        <w:t>，</w:t>
      </w:r>
      <w:r>
        <w:rPr>
          <w:rFonts w:hint="eastAsia" w:ascii="仿宋_GB2312" w:hAnsi="仿宋_GB2312" w:eastAsia="仿宋_GB2312" w:cs="仿宋_GB2312"/>
          <w:color w:val="333333"/>
          <w:kern w:val="0"/>
          <w:sz w:val="28"/>
          <w:szCs w:val="28"/>
        </w:rPr>
        <w:t>适合到科研院所、高中等院校从事相关学科的理论研究和教学工作。</w:t>
      </w:r>
    </w:p>
    <w:p w14:paraId="752E7EEB">
      <w:pPr>
        <w:keepNext w:val="0"/>
        <w:keepLines w:val="0"/>
        <w:pageBreakBefore w:val="0"/>
        <w:widowControl/>
        <w:kinsoku/>
        <w:wordWrap/>
        <w:overflowPunct/>
        <w:topLinePunct w:val="0"/>
        <w:autoSpaceDE/>
        <w:autoSpaceDN/>
        <w:bidi w:val="0"/>
        <w:adjustRightInd/>
        <w:snapToGrid/>
        <w:ind w:firstLine="556"/>
        <w:textAlignment w:val="auto"/>
        <w:rPr>
          <w:rFonts w:hint="eastAsia" w:ascii="宋体" w:hAnsi="宋体" w:eastAsia="宋体" w:cs="宋体"/>
          <w:color w:val="333333"/>
          <w:kern w:val="0"/>
          <w:sz w:val="29"/>
          <w:szCs w:val="29"/>
        </w:rPr>
      </w:pPr>
      <w:r>
        <w:rPr>
          <w:rFonts w:hint="eastAsia" w:ascii="宋体" w:hAnsi="宋体" w:eastAsia="宋体" w:cs="宋体"/>
          <w:color w:val="333333"/>
          <w:kern w:val="0"/>
          <w:sz w:val="29"/>
          <w:szCs w:val="29"/>
        </w:rPr>
        <w:t>（二）应用数学专业</w:t>
      </w:r>
    </w:p>
    <w:p w14:paraId="13C7ED65">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应用数学主要研究方向：微分方程与动力系统、智能计算、数据挖掘、偏微分方程、最优化算法。学术型，学制三年，授理学硕士学位。</w:t>
      </w:r>
    </w:p>
    <w:p w14:paraId="0671457F">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宋体" w:hAnsi="宋体" w:eastAsia="宋体" w:cs="宋体"/>
          <w:color w:val="333333"/>
          <w:kern w:val="0"/>
          <w:sz w:val="29"/>
          <w:szCs w:val="29"/>
          <w:lang w:eastAsia="zh-CN"/>
        </w:rPr>
      </w:pPr>
      <w:r>
        <w:rPr>
          <w:rFonts w:hint="eastAsia" w:ascii="仿宋_GB2312" w:hAnsi="仿宋_GB2312" w:eastAsia="仿宋_GB2312" w:cs="仿宋_GB2312"/>
          <w:color w:val="333333"/>
          <w:kern w:val="0"/>
          <w:sz w:val="28"/>
          <w:szCs w:val="28"/>
        </w:rPr>
        <w:t>应用数学</w:t>
      </w:r>
      <w:r>
        <w:rPr>
          <w:rFonts w:hint="eastAsia" w:ascii="仿宋_GB2312" w:hAnsi="仿宋_GB2312" w:eastAsia="仿宋_GB2312" w:cs="仿宋_GB2312"/>
          <w:color w:val="333333"/>
          <w:kern w:val="0"/>
          <w:sz w:val="28"/>
          <w:szCs w:val="28"/>
          <w:lang w:val="en-US" w:eastAsia="zh-CN"/>
        </w:rPr>
        <w:t>专业</w:t>
      </w:r>
      <w:r>
        <w:rPr>
          <w:rFonts w:hint="eastAsia" w:ascii="仿宋_GB2312" w:hAnsi="仿宋_GB2312" w:eastAsia="仿宋_GB2312" w:cs="仿宋_GB2312"/>
          <w:color w:val="333333"/>
          <w:kern w:val="0"/>
          <w:sz w:val="28"/>
          <w:szCs w:val="28"/>
        </w:rPr>
        <w:t>硕士具备扎实宽广的数学基础，了解学科进展动向，在特定应用方向经科研训练、有系统专业知识，能熟练用相关知识及数学软件解决实际问题，且能熟练掌握一门外语阅读外文资料。毕业后能从事与应用数学相关的教学、科研及中等学校的数学教师工作。</w:t>
      </w:r>
    </w:p>
    <w:p w14:paraId="40842047">
      <w:pPr>
        <w:keepNext w:val="0"/>
        <w:keepLines w:val="0"/>
        <w:pageBreakBefore w:val="0"/>
        <w:widowControl/>
        <w:kinsoku/>
        <w:wordWrap/>
        <w:overflowPunct/>
        <w:topLinePunct w:val="0"/>
        <w:autoSpaceDE/>
        <w:autoSpaceDN/>
        <w:bidi w:val="0"/>
        <w:adjustRightInd/>
        <w:snapToGrid/>
        <w:ind w:firstLine="556"/>
        <w:textAlignment w:val="auto"/>
        <w:rPr>
          <w:rFonts w:hint="eastAsia" w:ascii="宋体" w:hAnsi="宋体" w:eastAsia="宋体" w:cs="宋体"/>
          <w:color w:val="333333"/>
          <w:kern w:val="0"/>
          <w:sz w:val="29"/>
          <w:szCs w:val="29"/>
          <w:lang w:eastAsia="zh-CN"/>
        </w:rPr>
      </w:pPr>
    </w:p>
    <w:p w14:paraId="1D67E0BC">
      <w:pPr>
        <w:keepNext w:val="0"/>
        <w:keepLines w:val="0"/>
        <w:pageBreakBefore w:val="0"/>
        <w:widowControl/>
        <w:kinsoku/>
        <w:wordWrap/>
        <w:overflowPunct/>
        <w:topLinePunct w:val="0"/>
        <w:autoSpaceDE/>
        <w:autoSpaceDN/>
        <w:bidi w:val="0"/>
        <w:adjustRightInd/>
        <w:snapToGrid/>
        <w:ind w:firstLine="556"/>
        <w:textAlignment w:val="auto"/>
        <w:rPr>
          <w:rFonts w:hint="eastAsia" w:ascii="宋体" w:hAnsi="宋体" w:eastAsia="宋体" w:cs="宋体"/>
          <w:color w:val="333333"/>
          <w:kern w:val="0"/>
          <w:sz w:val="29"/>
          <w:szCs w:val="29"/>
          <w:lang w:eastAsia="zh-CN"/>
        </w:rPr>
      </w:pPr>
    </w:p>
    <w:p w14:paraId="716BD726">
      <w:pPr>
        <w:keepNext w:val="0"/>
        <w:keepLines w:val="0"/>
        <w:pageBreakBefore w:val="0"/>
        <w:widowControl/>
        <w:kinsoku/>
        <w:wordWrap/>
        <w:overflowPunct/>
        <w:topLinePunct w:val="0"/>
        <w:autoSpaceDE/>
        <w:autoSpaceDN/>
        <w:bidi w:val="0"/>
        <w:adjustRightInd/>
        <w:snapToGrid/>
        <w:ind w:firstLine="556"/>
        <w:textAlignment w:val="auto"/>
        <w:rPr>
          <w:rFonts w:hint="eastAsia" w:ascii="宋体" w:hAnsi="宋体" w:eastAsia="宋体" w:cs="宋体"/>
          <w:color w:val="333333"/>
          <w:kern w:val="0"/>
          <w:sz w:val="29"/>
          <w:szCs w:val="29"/>
          <w:lang w:eastAsia="zh-CN"/>
        </w:rPr>
      </w:pPr>
    </w:p>
    <w:p w14:paraId="69C26B16">
      <w:pPr>
        <w:keepNext w:val="0"/>
        <w:keepLines w:val="0"/>
        <w:pageBreakBefore w:val="0"/>
        <w:widowControl/>
        <w:kinsoku/>
        <w:wordWrap/>
        <w:overflowPunct/>
        <w:topLinePunct w:val="0"/>
        <w:autoSpaceDE/>
        <w:autoSpaceDN/>
        <w:bidi w:val="0"/>
        <w:adjustRightInd/>
        <w:snapToGrid/>
        <w:ind w:firstLine="556"/>
        <w:textAlignment w:val="auto"/>
        <w:rPr>
          <w:rFonts w:hint="eastAsia" w:ascii="宋体" w:hAnsi="宋体" w:eastAsia="宋体" w:cs="宋体"/>
          <w:color w:val="333333"/>
          <w:kern w:val="0"/>
          <w:sz w:val="29"/>
          <w:szCs w:val="29"/>
        </w:rPr>
      </w:pPr>
      <w:r>
        <w:rPr>
          <w:rFonts w:hint="eastAsia" w:ascii="宋体" w:hAnsi="宋体" w:eastAsia="宋体" w:cs="宋体"/>
          <w:color w:val="333333"/>
          <w:kern w:val="0"/>
          <w:sz w:val="29"/>
          <w:szCs w:val="29"/>
          <w:lang w:eastAsia="zh-CN"/>
        </w:rPr>
        <w:t>（</w:t>
      </w:r>
      <w:r>
        <w:rPr>
          <w:rFonts w:hint="eastAsia" w:ascii="宋体" w:hAnsi="宋体" w:eastAsia="宋体" w:cs="宋体"/>
          <w:color w:val="333333"/>
          <w:kern w:val="0"/>
          <w:sz w:val="29"/>
          <w:szCs w:val="29"/>
          <w:lang w:val="en-US" w:eastAsia="zh-CN"/>
        </w:rPr>
        <w:t>三</w:t>
      </w:r>
      <w:r>
        <w:rPr>
          <w:rFonts w:hint="eastAsia" w:ascii="宋体" w:hAnsi="宋体" w:eastAsia="宋体" w:cs="宋体"/>
          <w:color w:val="333333"/>
          <w:kern w:val="0"/>
          <w:sz w:val="29"/>
          <w:szCs w:val="29"/>
          <w:lang w:eastAsia="zh-CN"/>
        </w:rPr>
        <w:t>）</w:t>
      </w:r>
      <w:r>
        <w:rPr>
          <w:rFonts w:hint="eastAsia" w:ascii="宋体" w:hAnsi="宋体" w:eastAsia="宋体" w:cs="宋体"/>
          <w:color w:val="333333"/>
          <w:kern w:val="0"/>
          <w:sz w:val="29"/>
          <w:szCs w:val="29"/>
        </w:rPr>
        <w:t>概率与数理统计专业</w:t>
      </w:r>
    </w:p>
    <w:p w14:paraId="579778BA">
      <w:pPr>
        <w:keepNext w:val="0"/>
        <w:keepLines w:val="0"/>
        <w:pageBreakBefore w:val="0"/>
        <w:widowControl/>
        <w:numPr>
          <w:numId w:val="0"/>
        </w:numPr>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概率论与数理统计主要研究方向：贝叶斯统计推断理论及应用、统计建模与优化、随机微分方程及其应、数理金融和非参数与半参数统计。学术型，学制三年，授理学硕士学位。</w:t>
      </w:r>
    </w:p>
    <w:p w14:paraId="68FF506F">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概率论与数理统计专业</w:t>
      </w:r>
      <w:r>
        <w:rPr>
          <w:rFonts w:hint="eastAsia" w:ascii="仿宋_GB2312" w:hAnsi="仿宋_GB2312" w:eastAsia="仿宋_GB2312" w:cs="仿宋_GB2312"/>
          <w:color w:val="333333"/>
          <w:kern w:val="0"/>
          <w:sz w:val="28"/>
          <w:szCs w:val="28"/>
          <w:lang w:val="en-US" w:eastAsia="zh-CN"/>
        </w:rPr>
        <w:t>硕士能够</w:t>
      </w:r>
      <w:r>
        <w:rPr>
          <w:rFonts w:hint="eastAsia" w:ascii="仿宋_GB2312" w:hAnsi="仿宋_GB2312" w:eastAsia="仿宋_GB2312" w:cs="仿宋_GB2312"/>
          <w:color w:val="333333"/>
          <w:kern w:val="0"/>
          <w:sz w:val="28"/>
          <w:szCs w:val="28"/>
        </w:rPr>
        <w:t>系统掌握概率论与数理统计的基础理论与技能，具有较强的应用概率论与数理统计的思想方法和统计软件解决实际问题的能力。较为熟练地掌握一门外国语，能阅读本专业的外文资料。毕业后能从事与概率统计相关的教学、科研及中等学校的数学教师工作。</w:t>
      </w:r>
    </w:p>
    <w:p w14:paraId="25BD9C80">
      <w:pPr>
        <w:keepNext w:val="0"/>
        <w:keepLines w:val="0"/>
        <w:pageBreakBefore w:val="0"/>
        <w:widowControl/>
        <w:kinsoku/>
        <w:wordWrap/>
        <w:overflowPunct/>
        <w:topLinePunct w:val="0"/>
        <w:autoSpaceDE/>
        <w:autoSpaceDN/>
        <w:bidi w:val="0"/>
        <w:adjustRightInd/>
        <w:snapToGrid/>
        <w:ind w:firstLine="556"/>
        <w:textAlignment w:val="auto"/>
        <w:rPr>
          <w:rFonts w:hint="eastAsia" w:ascii="宋体" w:hAnsi="宋体" w:eastAsia="宋体" w:cs="宋体"/>
          <w:color w:val="333333"/>
          <w:kern w:val="0"/>
          <w:sz w:val="29"/>
          <w:szCs w:val="29"/>
          <w:lang w:eastAsia="zh-CN"/>
        </w:rPr>
      </w:pPr>
      <w:r>
        <w:rPr>
          <w:rFonts w:hint="eastAsia" w:ascii="宋体" w:hAnsi="宋体" w:eastAsia="宋体" w:cs="宋体"/>
          <w:color w:val="333333"/>
          <w:kern w:val="0"/>
          <w:sz w:val="29"/>
          <w:szCs w:val="29"/>
          <w:lang w:eastAsia="zh-CN"/>
        </w:rPr>
        <w:t>（四）计算数学专业</w:t>
      </w:r>
    </w:p>
    <w:p w14:paraId="76299CBC">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计算数学主要研究方向：微分积分方程数值解，高精度数值计算方法，智能计算，计算系统生物学。学术型，学制三年，授理学硕士学位。</w:t>
      </w:r>
    </w:p>
    <w:p w14:paraId="356EC804">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计算数学</w:t>
      </w:r>
      <w:r>
        <w:rPr>
          <w:rFonts w:hint="eastAsia" w:ascii="仿宋_GB2312" w:hAnsi="仿宋_GB2312" w:eastAsia="仿宋_GB2312" w:cs="仿宋_GB2312"/>
          <w:color w:val="333333"/>
          <w:kern w:val="0"/>
          <w:sz w:val="28"/>
          <w:szCs w:val="28"/>
          <w:lang w:val="en-US" w:eastAsia="zh-CN"/>
        </w:rPr>
        <w:t>专业硕士具有</w:t>
      </w:r>
      <w:r>
        <w:rPr>
          <w:rFonts w:hint="eastAsia" w:ascii="仿宋_GB2312" w:hAnsi="仿宋_GB2312" w:eastAsia="仿宋_GB2312" w:cs="仿宋_GB2312"/>
          <w:color w:val="333333"/>
          <w:kern w:val="0"/>
          <w:sz w:val="28"/>
          <w:szCs w:val="28"/>
        </w:rPr>
        <w:t>比较扎实宽广的数学基础，了解本学科目前的进展与动向，并在某一应用方向受到一定的科研训练，有较系统的专业知识，能熟练运用相关知识及数学软件解决某些实际应用问题的能力。较为熟练地掌握一门外国语，能阅读本专业的外文资料。毕业后能从事与应用数学相关的教学、科研及中等学校的数学教师工作。</w:t>
      </w:r>
    </w:p>
    <w:p w14:paraId="75FC14B2">
      <w:pPr>
        <w:keepNext w:val="0"/>
        <w:keepLines w:val="0"/>
        <w:pageBreakBefore w:val="0"/>
        <w:widowControl/>
        <w:kinsoku/>
        <w:wordWrap/>
        <w:overflowPunct/>
        <w:topLinePunct w:val="0"/>
        <w:autoSpaceDE/>
        <w:autoSpaceDN/>
        <w:bidi w:val="0"/>
        <w:adjustRightInd/>
        <w:snapToGrid/>
        <w:ind w:firstLine="556"/>
        <w:textAlignment w:val="auto"/>
        <w:rPr>
          <w:rFonts w:hint="eastAsia" w:ascii="宋体" w:hAnsi="宋体" w:eastAsia="宋体" w:cs="宋体"/>
          <w:color w:val="333333"/>
          <w:kern w:val="0"/>
          <w:sz w:val="29"/>
          <w:szCs w:val="29"/>
          <w:lang w:eastAsia="zh-CN"/>
        </w:rPr>
      </w:pPr>
      <w:r>
        <w:rPr>
          <w:rFonts w:hint="eastAsia" w:ascii="宋体" w:hAnsi="宋体" w:eastAsia="宋体" w:cs="宋体"/>
          <w:color w:val="333333"/>
          <w:kern w:val="0"/>
          <w:sz w:val="29"/>
          <w:szCs w:val="29"/>
          <w:lang w:eastAsia="zh-CN"/>
        </w:rPr>
        <w:t>（五）学科教学（数学）专业</w:t>
      </w:r>
    </w:p>
    <w:p w14:paraId="62B2E94C">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专业学位，学制三年，授教育硕士学位。</w:t>
      </w:r>
    </w:p>
    <w:p w14:paraId="1866BF74">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宋体" w:hAnsi="宋体" w:eastAsia="宋体" w:cs="Calibri"/>
          <w:b/>
          <w:bCs/>
          <w:color w:val="333333"/>
          <w:kern w:val="0"/>
          <w:sz w:val="29"/>
          <w:szCs w:val="29"/>
          <w:lang w:val="en-US" w:eastAsia="zh-CN"/>
        </w:rPr>
      </w:pPr>
      <w:r>
        <w:rPr>
          <w:rFonts w:hint="eastAsia" w:ascii="仿宋_GB2312" w:hAnsi="仿宋_GB2312" w:eastAsia="仿宋_GB2312" w:cs="仿宋_GB2312"/>
          <w:color w:val="333333"/>
          <w:kern w:val="0"/>
          <w:sz w:val="28"/>
          <w:szCs w:val="28"/>
          <w:lang w:val="en-US" w:eastAsia="zh-CN"/>
        </w:rPr>
        <w:t>学科教学（数学）专业硕士</w:t>
      </w:r>
      <w:r>
        <w:rPr>
          <w:rFonts w:hint="eastAsia" w:ascii="仿宋_GB2312" w:hAnsi="仿宋_GB2312" w:eastAsia="仿宋_GB2312" w:cs="仿宋_GB2312"/>
          <w:color w:val="333333"/>
          <w:kern w:val="0"/>
          <w:sz w:val="28"/>
          <w:szCs w:val="28"/>
        </w:rPr>
        <w:t>具有比较扎实的数学教育理论基础，了解本学科目前的进展与动向，由较系统的专业知识，初步具有独立进行理论研究的能力或运用数学教育理论解决实际问题的能力。较为熟练地掌握一门外国语，能阅读本专业的外文资料。毕业后能从事与数学教育相关的教学、科研及中学的数学教师工作。</w:t>
      </w:r>
    </w:p>
    <w:p w14:paraId="0BEBE680">
      <w:pPr>
        <w:keepNext w:val="0"/>
        <w:keepLines w:val="0"/>
        <w:pageBreakBefore w:val="0"/>
        <w:widowControl/>
        <w:numPr>
          <w:ilvl w:val="0"/>
          <w:numId w:val="0"/>
        </w:numPr>
        <w:kinsoku/>
        <w:wordWrap/>
        <w:overflowPunct/>
        <w:topLinePunct w:val="0"/>
        <w:autoSpaceDE/>
        <w:autoSpaceDN/>
        <w:bidi w:val="0"/>
        <w:adjustRightInd/>
        <w:snapToGrid/>
        <w:spacing w:before="157" w:beforeLines="50" w:line="480" w:lineRule="auto"/>
        <w:ind w:left="0" w:firstLine="582" w:firstLineChars="200"/>
        <w:textAlignment w:val="auto"/>
        <w:rPr>
          <w:rFonts w:hint="eastAsia" w:ascii="宋体" w:hAnsi="宋体" w:eastAsia="宋体" w:cs="Calibri"/>
          <w:b/>
          <w:bCs/>
          <w:color w:val="333333"/>
          <w:kern w:val="0"/>
          <w:sz w:val="29"/>
          <w:szCs w:val="29"/>
          <w:lang w:val="en-US" w:eastAsia="zh-CN"/>
        </w:rPr>
      </w:pPr>
    </w:p>
    <w:p w14:paraId="39890002">
      <w:pPr>
        <w:keepNext w:val="0"/>
        <w:keepLines w:val="0"/>
        <w:pageBreakBefore w:val="0"/>
        <w:widowControl/>
        <w:numPr>
          <w:ilvl w:val="0"/>
          <w:numId w:val="0"/>
        </w:numPr>
        <w:kinsoku/>
        <w:wordWrap/>
        <w:overflowPunct/>
        <w:topLinePunct w:val="0"/>
        <w:autoSpaceDE/>
        <w:autoSpaceDN/>
        <w:bidi w:val="0"/>
        <w:adjustRightInd/>
        <w:snapToGrid/>
        <w:spacing w:before="157" w:beforeLines="50" w:line="480" w:lineRule="auto"/>
        <w:ind w:left="0" w:firstLine="582" w:firstLineChars="200"/>
        <w:textAlignment w:val="auto"/>
        <w:rPr>
          <w:rFonts w:hint="eastAsia" w:ascii="宋体" w:hAnsi="宋体" w:eastAsia="宋体" w:cs="宋体"/>
          <w:color w:val="333333"/>
          <w:kern w:val="0"/>
          <w:sz w:val="29"/>
          <w:szCs w:val="29"/>
          <w:lang w:val="en-US" w:eastAsia="zh-CN"/>
        </w:rPr>
      </w:pPr>
      <w:r>
        <w:rPr>
          <w:rFonts w:hint="eastAsia" w:ascii="宋体" w:hAnsi="宋体" w:eastAsia="宋体" w:cs="Calibri"/>
          <w:b/>
          <w:bCs/>
          <w:color w:val="333333"/>
          <w:kern w:val="0"/>
          <w:sz w:val="29"/>
          <w:szCs w:val="29"/>
          <w:lang w:val="en-US" w:eastAsia="zh-CN"/>
        </w:rPr>
        <w:t>三、本科生专业介绍</w:t>
      </w:r>
    </w:p>
    <w:p w14:paraId="14C9CD76">
      <w:pPr>
        <w:keepNext w:val="0"/>
        <w:keepLines w:val="0"/>
        <w:pageBreakBefore w:val="0"/>
        <w:widowControl/>
        <w:kinsoku/>
        <w:wordWrap/>
        <w:overflowPunct/>
        <w:topLinePunct w:val="0"/>
        <w:autoSpaceDE/>
        <w:autoSpaceDN/>
        <w:bidi w:val="0"/>
        <w:adjustRightInd/>
        <w:snapToGrid/>
        <w:spacing w:line="480" w:lineRule="auto"/>
        <w:ind w:firstLine="580" w:firstLineChars="200"/>
        <w:textAlignment w:val="auto"/>
        <w:rPr>
          <w:rFonts w:ascii="微软雅黑" w:hAnsi="微软雅黑" w:eastAsia="微软雅黑" w:cs="宋体"/>
          <w:color w:val="333333"/>
          <w:kern w:val="0"/>
          <w:sz w:val="24"/>
          <w:szCs w:val="24"/>
        </w:rPr>
      </w:pPr>
      <w:r>
        <w:rPr>
          <w:rFonts w:hint="eastAsia" w:ascii="宋体" w:hAnsi="宋体" w:eastAsia="宋体" w:cs="宋体"/>
          <w:color w:val="333333"/>
          <w:kern w:val="0"/>
          <w:sz w:val="29"/>
          <w:szCs w:val="29"/>
        </w:rPr>
        <w:t>（一）</w:t>
      </w:r>
      <w:r>
        <w:rPr>
          <w:rFonts w:hint="eastAsia" w:ascii="宋体" w:hAnsi="宋体" w:eastAsia="宋体" w:cs="Calibri"/>
          <w:color w:val="333333"/>
          <w:kern w:val="0"/>
          <w:sz w:val="29"/>
          <w:szCs w:val="29"/>
        </w:rPr>
        <w:t>数学与应用数学专业</w:t>
      </w:r>
    </w:p>
    <w:p w14:paraId="1CDBF5DF">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b/>
          <w:bCs/>
          <w:color w:val="333333"/>
          <w:kern w:val="0"/>
          <w:sz w:val="28"/>
          <w:szCs w:val="28"/>
        </w:rPr>
        <w:t>培养目标：</w:t>
      </w:r>
      <w:r>
        <w:rPr>
          <w:rFonts w:hint="eastAsia" w:ascii="仿宋_GB2312" w:hAnsi="仿宋_GB2312" w:eastAsia="仿宋_GB2312" w:cs="仿宋_GB2312"/>
          <w:color w:val="333333"/>
          <w:kern w:val="0"/>
          <w:sz w:val="28"/>
          <w:szCs w:val="28"/>
        </w:rPr>
        <w:t>主要培养在中学进行数学教学的教师及其他教育工作者和与数学相关行业的工作者。要求学生掌握数学的基本理论与基本方法，能初步应用数学知识解决实际问题；具备从事中学数学教育研究等能力。</w:t>
      </w:r>
    </w:p>
    <w:p w14:paraId="22E42C1A">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b/>
          <w:bCs/>
          <w:color w:val="333333"/>
          <w:kern w:val="0"/>
          <w:sz w:val="28"/>
          <w:szCs w:val="28"/>
        </w:rPr>
        <w:t>就业方向：</w:t>
      </w:r>
      <w:r>
        <w:rPr>
          <w:rFonts w:hint="eastAsia" w:ascii="仿宋_GB2312" w:hAnsi="仿宋_GB2312" w:eastAsia="仿宋_GB2312" w:cs="仿宋_GB2312"/>
          <w:color w:val="333333"/>
          <w:kern w:val="0"/>
          <w:sz w:val="28"/>
          <w:szCs w:val="28"/>
        </w:rPr>
        <w:t>适合在基础教育从事教学研究工作以及在与数学密切相关的计算机、经济、金融、统计等行业工作。</w:t>
      </w:r>
    </w:p>
    <w:p w14:paraId="267C9A2B">
      <w:pPr>
        <w:keepNext w:val="0"/>
        <w:keepLines w:val="0"/>
        <w:pageBreakBefore w:val="0"/>
        <w:widowControl/>
        <w:kinsoku/>
        <w:wordWrap/>
        <w:overflowPunct/>
        <w:topLinePunct w:val="0"/>
        <w:autoSpaceDE/>
        <w:autoSpaceDN/>
        <w:bidi w:val="0"/>
        <w:adjustRightInd/>
        <w:snapToGrid/>
        <w:spacing w:line="480" w:lineRule="auto"/>
        <w:ind w:firstLine="580" w:firstLineChars="200"/>
        <w:textAlignment w:val="auto"/>
        <w:rPr>
          <w:rFonts w:hint="eastAsia" w:ascii="宋体" w:hAnsi="宋体" w:eastAsia="宋体" w:cs="宋体"/>
          <w:color w:val="333333"/>
          <w:kern w:val="0"/>
          <w:sz w:val="29"/>
          <w:szCs w:val="29"/>
        </w:rPr>
      </w:pPr>
      <w:r>
        <w:rPr>
          <w:rFonts w:hint="eastAsia" w:ascii="宋体" w:hAnsi="宋体" w:eastAsia="宋体" w:cs="宋体"/>
          <w:color w:val="333333"/>
          <w:kern w:val="0"/>
          <w:sz w:val="29"/>
          <w:szCs w:val="29"/>
        </w:rPr>
        <w:t>（二）应用统计学专业</w:t>
      </w:r>
    </w:p>
    <w:p w14:paraId="15332A5B">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b/>
          <w:bCs/>
          <w:color w:val="333333"/>
          <w:kern w:val="0"/>
          <w:sz w:val="28"/>
          <w:szCs w:val="28"/>
        </w:rPr>
        <w:t>培养目标：</w:t>
      </w:r>
      <w:r>
        <w:rPr>
          <w:rFonts w:hint="eastAsia" w:ascii="仿宋_GB2312" w:hAnsi="仿宋_GB2312" w:eastAsia="仿宋_GB2312" w:cs="仿宋_GB2312"/>
          <w:color w:val="333333"/>
          <w:kern w:val="0"/>
          <w:sz w:val="28"/>
          <w:szCs w:val="28"/>
        </w:rPr>
        <w:t>主要培养能在企业、金融保险和政府部门从事统计调查 、数据分析、市场预测与决策等开发、应用和管理工作或在科研、教育部门从事统计科学研究和教学工作的专业人才。能熟练地运用计算机科学技术和统计软件分析数据并解决实际问题。</w:t>
      </w:r>
    </w:p>
    <w:p w14:paraId="2F6FBB33">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b/>
          <w:bCs/>
          <w:color w:val="333333"/>
          <w:kern w:val="0"/>
          <w:sz w:val="28"/>
          <w:szCs w:val="28"/>
        </w:rPr>
        <w:t>就业方向：</w:t>
      </w:r>
      <w:r>
        <w:rPr>
          <w:rFonts w:hint="eastAsia" w:ascii="仿宋_GB2312" w:hAnsi="仿宋_GB2312" w:eastAsia="仿宋_GB2312" w:cs="仿宋_GB2312"/>
          <w:color w:val="333333"/>
          <w:kern w:val="0"/>
          <w:sz w:val="28"/>
          <w:szCs w:val="28"/>
        </w:rPr>
        <w:t>适合在经济、保险、金融部门从事统计调查、统计信息管理、数据分析、风险控制、市场预测与决策等开发、应用和管理工作。</w:t>
      </w:r>
    </w:p>
    <w:p w14:paraId="6C6D6EF0">
      <w:pPr>
        <w:keepNext w:val="0"/>
        <w:keepLines w:val="0"/>
        <w:pageBreakBefore w:val="0"/>
        <w:widowControl/>
        <w:kinsoku/>
        <w:wordWrap/>
        <w:overflowPunct/>
        <w:topLinePunct w:val="0"/>
        <w:autoSpaceDE/>
        <w:autoSpaceDN/>
        <w:bidi w:val="0"/>
        <w:adjustRightInd/>
        <w:snapToGrid/>
        <w:spacing w:line="480" w:lineRule="auto"/>
        <w:ind w:firstLine="580" w:firstLineChars="200"/>
        <w:textAlignment w:val="auto"/>
        <w:rPr>
          <w:rFonts w:hint="eastAsia" w:ascii="宋体" w:hAnsi="宋体" w:eastAsia="宋体" w:cs="宋体"/>
          <w:color w:val="333333"/>
          <w:kern w:val="0"/>
          <w:sz w:val="29"/>
          <w:szCs w:val="29"/>
        </w:rPr>
      </w:pPr>
      <w:r>
        <w:rPr>
          <w:rFonts w:hint="eastAsia" w:ascii="宋体" w:hAnsi="宋体" w:eastAsia="宋体" w:cs="宋体"/>
          <w:color w:val="333333"/>
          <w:kern w:val="0"/>
          <w:sz w:val="29"/>
          <w:szCs w:val="29"/>
        </w:rPr>
        <w:t>（三）金融数学专业</w:t>
      </w:r>
    </w:p>
    <w:p w14:paraId="3D45DE1B">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b/>
          <w:bCs/>
          <w:color w:val="333333"/>
          <w:kern w:val="0"/>
          <w:sz w:val="28"/>
          <w:szCs w:val="28"/>
        </w:rPr>
        <w:t>培养目标：</w:t>
      </w:r>
      <w:r>
        <w:rPr>
          <w:rFonts w:hint="eastAsia" w:ascii="仿宋_GB2312" w:hAnsi="仿宋_GB2312" w:eastAsia="仿宋_GB2312" w:cs="仿宋_GB2312"/>
          <w:b w:val="0"/>
          <w:bCs w:val="0"/>
          <w:color w:val="333333"/>
          <w:kern w:val="0"/>
          <w:sz w:val="28"/>
          <w:szCs w:val="28"/>
        </w:rPr>
        <w:t>培养具有扎实金融理论基础和数理基础，能够利用数学、统计等工具</w:t>
      </w:r>
      <w:r>
        <w:rPr>
          <w:rFonts w:hint="eastAsia" w:ascii="仿宋_GB2312" w:hAnsi="仿宋_GB2312" w:eastAsia="仿宋_GB2312" w:cs="仿宋_GB2312"/>
          <w:color w:val="333333"/>
          <w:kern w:val="0"/>
          <w:sz w:val="28"/>
          <w:szCs w:val="28"/>
        </w:rPr>
        <w:t>研究金融，进行数学建模、数值计算等分析，探索金融学内在规律，能在商业银行、证券公司、保险公司、企事业等行业部门，从事金融数据分析与计算、金融风险管理等实务性工作，具备创新精神的人才。</w:t>
      </w:r>
    </w:p>
    <w:p w14:paraId="3C668175">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b/>
          <w:bCs/>
          <w:color w:val="333333"/>
          <w:kern w:val="0"/>
          <w:sz w:val="28"/>
          <w:szCs w:val="28"/>
        </w:rPr>
        <w:t>就业方向：</w:t>
      </w:r>
      <w:r>
        <w:rPr>
          <w:rFonts w:hint="eastAsia" w:ascii="仿宋_GB2312" w:hAnsi="仿宋_GB2312" w:eastAsia="仿宋_GB2312" w:cs="仿宋_GB2312"/>
          <w:color w:val="333333"/>
          <w:kern w:val="0"/>
          <w:sz w:val="28"/>
          <w:szCs w:val="28"/>
        </w:rPr>
        <w:t>适合在银行、证券公司、保险公司等金融机构以及政府金融监管部门工作，或报考金融学类、经济类、数学类等相关专业研究生深造。</w:t>
      </w:r>
    </w:p>
    <w:p w14:paraId="428F0A44">
      <w:pPr>
        <w:keepNext w:val="0"/>
        <w:keepLines w:val="0"/>
        <w:pageBreakBefore w:val="0"/>
        <w:widowControl/>
        <w:kinsoku/>
        <w:wordWrap/>
        <w:overflowPunct/>
        <w:topLinePunct w:val="0"/>
        <w:autoSpaceDE/>
        <w:autoSpaceDN/>
        <w:bidi w:val="0"/>
        <w:adjustRightInd/>
        <w:snapToGrid/>
        <w:spacing w:line="360" w:lineRule="auto"/>
        <w:ind w:firstLine="556"/>
        <w:textAlignment w:val="auto"/>
        <w:rPr>
          <w:rFonts w:hint="eastAsia" w:ascii="仿宋_GB2312" w:hAnsi="仿宋_GB2312" w:eastAsia="仿宋_GB2312" w:cs="仿宋_GB2312"/>
          <w:color w:val="333333"/>
          <w:kern w:val="0"/>
          <w:sz w:val="28"/>
          <w:szCs w:val="28"/>
        </w:rPr>
      </w:pPr>
      <w:r>
        <w:rPr>
          <w:rFonts w:hint="eastAsia" w:ascii="仿宋_GB2312" w:hAnsi="仿宋_GB2312" w:eastAsia="仿宋_GB2312" w:cs="仿宋_GB2312"/>
          <w:color w:val="333333"/>
          <w:kern w:val="0"/>
          <w:sz w:val="28"/>
          <w:szCs w:val="28"/>
        </w:rPr>
        <w:t>我们诚挚邀请贵单位来校举办专场招聘会，录用我院的优秀毕业生。</w:t>
      </w:r>
    </w:p>
    <w:p w14:paraId="0489B10B">
      <w:pPr>
        <w:widowControl/>
        <w:shd w:val="clear" w:color="auto" w:fill="FFF4E2"/>
        <w:spacing w:line="480" w:lineRule="auto"/>
        <w:rPr>
          <w:rFonts w:hint="eastAsia" w:ascii="宋体" w:hAnsi="宋体" w:eastAsia="宋体" w:cs="Calibri"/>
          <w:color w:val="333333"/>
          <w:kern w:val="0"/>
          <w:sz w:val="29"/>
          <w:szCs w:val="29"/>
        </w:rPr>
      </w:pPr>
      <w:r>
        <w:rPr>
          <w:rFonts w:hint="eastAsia" w:ascii="宋体" w:hAnsi="宋体" w:eastAsia="宋体" w:cs="Calibri"/>
          <w:color w:val="333333"/>
          <w:kern w:val="0"/>
          <w:sz w:val="29"/>
          <w:szCs w:val="29"/>
        </w:rPr>
        <w:t>就业联系电话：</w:t>
      </w:r>
    </w:p>
    <w:p w14:paraId="5DE4CE85">
      <w:pPr>
        <w:widowControl/>
        <w:shd w:val="clear" w:color="auto" w:fill="FFF4E2"/>
        <w:spacing w:line="480" w:lineRule="auto"/>
        <w:rPr>
          <w:rFonts w:hint="default" w:ascii="宋体" w:hAnsi="宋体" w:eastAsia="宋体" w:cs="Calibri"/>
          <w:color w:val="333333"/>
          <w:kern w:val="0"/>
          <w:sz w:val="29"/>
          <w:szCs w:val="29"/>
          <w:lang w:val="en-US" w:eastAsia="zh-CN"/>
        </w:rPr>
      </w:pPr>
      <w:r>
        <w:rPr>
          <w:rFonts w:hint="eastAsia" w:ascii="宋体" w:hAnsi="宋体" w:eastAsia="宋体" w:cs="Calibri"/>
          <w:color w:val="333333"/>
          <w:kern w:val="0"/>
          <w:sz w:val="29"/>
          <w:szCs w:val="29"/>
          <w:lang w:val="en-US" w:eastAsia="zh-CN"/>
        </w:rPr>
        <w:t>硕士研究生就业：林敏华老师 0771-6214027（QQ号：1143999415）</w:t>
      </w:r>
    </w:p>
    <w:p w14:paraId="3759F027">
      <w:pPr>
        <w:widowControl/>
        <w:shd w:val="clear" w:color="auto" w:fill="FFF4E2"/>
        <w:spacing w:line="480" w:lineRule="auto"/>
        <w:rPr>
          <w:rFonts w:hint="eastAsia" w:ascii="Calibri" w:hAnsi="Calibri" w:eastAsia="微软雅黑" w:cs="Calibri"/>
          <w:color w:val="333333"/>
          <w:kern w:val="0"/>
          <w:sz w:val="29"/>
          <w:szCs w:val="29"/>
          <w:lang w:val="en-US" w:eastAsia="zh-CN"/>
        </w:rPr>
      </w:pPr>
      <w:r>
        <w:rPr>
          <w:rFonts w:hint="eastAsia" w:ascii="宋体" w:hAnsi="宋体" w:eastAsia="宋体" w:cs="Calibri"/>
          <w:color w:val="333333"/>
          <w:kern w:val="0"/>
          <w:sz w:val="29"/>
          <w:szCs w:val="29"/>
        </w:rPr>
        <w:t>本科生就业：梁卡霖老师</w:t>
      </w:r>
      <w:r>
        <w:rPr>
          <w:rFonts w:ascii="Calibri" w:hAnsi="Calibri" w:eastAsia="微软雅黑" w:cs="Calibri"/>
          <w:color w:val="333333"/>
          <w:kern w:val="0"/>
          <w:sz w:val="29"/>
          <w:szCs w:val="29"/>
        </w:rPr>
        <w:t xml:space="preserve"> 13557870198</w:t>
      </w:r>
      <w:r>
        <w:rPr>
          <w:rFonts w:hint="eastAsia" w:ascii="Calibri" w:hAnsi="Calibri" w:eastAsia="微软雅黑" w:cs="Calibri"/>
          <w:color w:val="333333"/>
          <w:kern w:val="0"/>
          <w:sz w:val="29"/>
          <w:szCs w:val="29"/>
          <w:lang w:val="en-US" w:eastAsia="zh-CN"/>
        </w:rPr>
        <w:t xml:space="preserve"> </w:t>
      </w:r>
      <w:r>
        <w:rPr>
          <w:rFonts w:hint="eastAsia" w:ascii="宋体" w:hAnsi="宋体" w:eastAsia="宋体" w:cs="Calibri"/>
          <w:color w:val="333333"/>
          <w:kern w:val="0"/>
          <w:sz w:val="29"/>
          <w:szCs w:val="29"/>
        </w:rPr>
        <w:t>（微信号：</w:t>
      </w:r>
      <w:r>
        <w:rPr>
          <w:rFonts w:ascii="Calibri" w:hAnsi="Calibri" w:eastAsia="微软雅黑" w:cs="Calibri"/>
          <w:color w:val="333333"/>
          <w:kern w:val="0"/>
          <w:sz w:val="29"/>
          <w:szCs w:val="29"/>
        </w:rPr>
        <w:t>13557870198</w:t>
      </w:r>
      <w:r>
        <w:rPr>
          <w:rFonts w:hint="eastAsia" w:ascii="宋体" w:hAnsi="宋体" w:eastAsia="宋体" w:cs="Calibri"/>
          <w:color w:val="333333"/>
          <w:kern w:val="0"/>
          <w:sz w:val="29"/>
          <w:szCs w:val="29"/>
        </w:rPr>
        <w:t>）</w:t>
      </w:r>
    </w:p>
    <w:p w14:paraId="14625FA1">
      <w:pPr>
        <w:widowControl/>
        <w:shd w:val="clear" w:color="auto" w:fill="FFF4E2"/>
        <w:spacing w:line="480" w:lineRule="auto"/>
        <w:ind w:firstLine="1740" w:firstLineChars="600"/>
        <w:rPr>
          <w:rFonts w:hint="default" w:ascii="Calibri" w:hAnsi="Calibri" w:eastAsia="微软雅黑" w:cs="Calibri"/>
          <w:color w:val="333333"/>
          <w:kern w:val="0"/>
          <w:sz w:val="29"/>
          <w:szCs w:val="29"/>
          <w:lang w:val="en-US" w:eastAsia="zh-CN"/>
        </w:rPr>
      </w:pPr>
      <w:r>
        <w:rPr>
          <w:rFonts w:hint="eastAsia" w:ascii="宋体" w:hAnsi="宋体" w:eastAsia="宋体" w:cs="Calibri"/>
          <w:color w:val="333333"/>
          <w:kern w:val="0"/>
          <w:sz w:val="29"/>
          <w:szCs w:val="29"/>
          <w:lang w:val="en-US" w:eastAsia="zh-CN"/>
        </w:rPr>
        <w:t xml:space="preserve">滕容梅老师 </w:t>
      </w:r>
      <w:r>
        <w:rPr>
          <w:rFonts w:hint="eastAsia" w:ascii="Calibri" w:hAnsi="Calibri" w:eastAsia="微软雅黑" w:cs="Calibri"/>
          <w:color w:val="333333"/>
          <w:kern w:val="0"/>
          <w:sz w:val="29"/>
          <w:szCs w:val="29"/>
          <w:lang w:val="en-US" w:eastAsia="zh-CN"/>
        </w:rPr>
        <w:t xml:space="preserve">15078859754 </w:t>
      </w:r>
      <w:r>
        <w:rPr>
          <w:rFonts w:hint="eastAsia" w:ascii="宋体" w:hAnsi="宋体" w:eastAsia="宋体" w:cs="Calibri"/>
          <w:color w:val="333333"/>
          <w:kern w:val="0"/>
          <w:sz w:val="29"/>
          <w:szCs w:val="29"/>
        </w:rPr>
        <w:t>（微信号：</w:t>
      </w:r>
      <w:r>
        <w:rPr>
          <w:rFonts w:hint="eastAsia" w:ascii="Calibri" w:hAnsi="Calibri" w:eastAsia="微软雅黑" w:cs="Calibri"/>
          <w:color w:val="333333"/>
          <w:kern w:val="0"/>
          <w:sz w:val="29"/>
          <w:szCs w:val="29"/>
          <w:lang w:val="en-US" w:eastAsia="zh-CN"/>
        </w:rPr>
        <w:t>15078859754</w:t>
      </w:r>
      <w:r>
        <w:rPr>
          <w:rFonts w:hint="eastAsia" w:ascii="宋体" w:hAnsi="宋体" w:eastAsia="宋体" w:cs="Calibri"/>
          <w:color w:val="333333"/>
          <w:kern w:val="0"/>
          <w:sz w:val="29"/>
          <w:szCs w:val="29"/>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999382C4-D9B2-4B20-9FE5-A16631F2D3F7}"/>
  </w:font>
  <w:font w:name="等线">
    <w:panose1 w:val="02010600030101010101"/>
    <w:charset w:val="86"/>
    <w:family w:val="auto"/>
    <w:pitch w:val="default"/>
    <w:sig w:usb0="A00002BF" w:usb1="38CF7CFA" w:usb2="00000016" w:usb3="00000000" w:csb0="0004000F" w:csb1="00000000"/>
  </w:font>
  <w:font w:name="小标宋">
    <w:panose1 w:val="03000509000000000000"/>
    <w:charset w:val="86"/>
    <w:family w:val="auto"/>
    <w:pitch w:val="default"/>
    <w:sig w:usb0="00000001" w:usb1="080E0000" w:usb2="00000000" w:usb3="00000000" w:csb0="00040000" w:csb1="00000000"/>
    <w:embedRegular r:id="rId2" w:fontKey="{BDBB93DA-4577-46EF-B8D5-A70025E0E7EA}"/>
  </w:font>
  <w:font w:name="仿宋_GB2312">
    <w:panose1 w:val="02010609030101010101"/>
    <w:charset w:val="86"/>
    <w:family w:val="auto"/>
    <w:pitch w:val="default"/>
    <w:sig w:usb0="00000001" w:usb1="080E0000" w:usb2="00000000" w:usb3="00000000" w:csb0="00040000" w:csb1="00000000"/>
    <w:embedRegular r:id="rId3" w:fontKey="{E07DA0EC-0147-4FC4-B224-87952ABF3A1A}"/>
  </w:font>
  <w:font w:name="微软雅黑">
    <w:panose1 w:val="020B0503020204020204"/>
    <w:charset w:val="86"/>
    <w:family w:val="swiss"/>
    <w:pitch w:val="default"/>
    <w:sig w:usb0="80000287" w:usb1="2ACF3C50" w:usb2="00000016" w:usb3="00000000" w:csb0="0004001F" w:csb1="00000000"/>
    <w:embedRegular r:id="rId4" w:fontKey="{4E62CBAD-88F2-4F32-8CCC-B279DE4085E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M3Mzk0YzE1MDE1NjliOWQ5OTIwMTMyNTBjN2EyY2UifQ=="/>
  </w:docVars>
  <w:rsids>
    <w:rsidRoot w:val="00C25A33"/>
    <w:rsid w:val="006E67DA"/>
    <w:rsid w:val="00940746"/>
    <w:rsid w:val="009F4CD2"/>
    <w:rsid w:val="00A82807"/>
    <w:rsid w:val="00C25A33"/>
    <w:rsid w:val="08674270"/>
    <w:rsid w:val="0B0C2F48"/>
    <w:rsid w:val="16936818"/>
    <w:rsid w:val="18001FEB"/>
    <w:rsid w:val="28B07116"/>
    <w:rsid w:val="2EEF31E2"/>
    <w:rsid w:val="360C13D2"/>
    <w:rsid w:val="3B5B1163"/>
    <w:rsid w:val="3FE02893"/>
    <w:rsid w:val="4E5E4D9B"/>
    <w:rsid w:val="64044B6F"/>
    <w:rsid w:val="64AE7433"/>
    <w:rsid w:val="68612A01"/>
    <w:rsid w:val="691E53FA"/>
    <w:rsid w:val="692A7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none"/>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3246</Words>
  <Characters>3347</Characters>
  <Lines>11</Lines>
  <Paragraphs>3</Paragraphs>
  <TotalTime>340</TotalTime>
  <ScaleCrop>false</ScaleCrop>
  <LinksUpToDate>false</LinksUpToDate>
  <CharactersWithSpaces>3357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2023-03-29T13:38:00Z</dcterms:created>
  <dc:creator>林 京贺</dc:creator>
  <cp:lastModifiedBy>小麦和稻米</cp:lastModifiedBy>
  <dcterms:modified xsi:type="dcterms:W3CDTF">2025-09-28T06:58:05Z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E00586E152B645D49EE9DEF05B5372B2_12</vt:lpwstr>
  </property>
  <property fmtid="{D5CDD505-2E9C-101B-9397-08002B2CF9AE}" pid="4" name="KSOTemplateDocerSaveRecord">
    <vt:lpwstr>eyJoZGlkIjoiMjhmOWY1MjU1ZTJlMmUxMmQ2NTViNmFkMWM0MWY3NzQiLCJ1c2VySWQiOiIxNjExNjU5MjcwIn0=</vt:lpwstr>
  </property>
</Properties>
</file>