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C906A">
      <w:pPr>
        <w:pStyle w:val="2"/>
        <w:spacing w:before="342" w:line="191" w:lineRule="auto"/>
        <w:ind w:left="2734"/>
        <w:outlineLvl w:val="0"/>
        <w:rPr>
          <w:sz w:val="48"/>
          <w:szCs w:val="48"/>
        </w:rPr>
      </w:pPr>
      <w:r>
        <w:rPr>
          <w:b/>
          <w:bCs/>
          <w:color w:val="1E3C72"/>
          <w:spacing w:val="-8"/>
          <w:sz w:val="48"/>
          <w:szCs w:val="48"/>
        </w:rPr>
        <w:t>宁国时代新能源有限公司</w:t>
      </w:r>
    </w:p>
    <w:p w14:paraId="214A36F8">
      <w:pPr>
        <w:pStyle w:val="2"/>
        <w:spacing w:before="65" w:line="213" w:lineRule="auto"/>
        <w:ind w:left="2226"/>
        <w:rPr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世界</w:t>
      </w:r>
      <w:r>
        <w:rPr>
          <w:spacing w:val="-2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500</w:t>
      </w:r>
      <w:r>
        <w:rPr>
          <w:spacing w:val="-2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强吉利集团旗下</w:t>
      </w:r>
      <w:r>
        <w:rPr>
          <w:spacing w:val="-2"/>
          <w:sz w:val="22"/>
          <w:szCs w:val="22"/>
        </w:rPr>
        <w:t xml:space="preserve">  </w:t>
      </w:r>
      <w:r>
        <w:rPr>
          <w:b/>
          <w:bCs/>
          <w:spacing w:val="-2"/>
          <w:sz w:val="22"/>
          <w:szCs w:val="22"/>
        </w:rPr>
        <w:t>·</w:t>
      </w:r>
      <w:r>
        <w:rPr>
          <w:spacing w:val="-2"/>
          <w:sz w:val="22"/>
          <w:szCs w:val="22"/>
        </w:rPr>
        <w:t xml:space="preserve">  </w:t>
      </w:r>
      <w:r>
        <w:rPr>
          <w:b/>
          <w:bCs/>
          <w:spacing w:val="-2"/>
          <w:sz w:val="22"/>
          <w:szCs w:val="22"/>
        </w:rPr>
        <w:t>专注新能源汽车动力电池生产制造</w:t>
      </w:r>
    </w:p>
    <w:p w14:paraId="50B938AE">
      <w:pPr>
        <w:pStyle w:val="2"/>
        <w:spacing w:before="185" w:line="212" w:lineRule="auto"/>
        <w:ind w:left="264"/>
        <w:rPr>
          <w:sz w:val="28"/>
          <w:szCs w:val="28"/>
        </w:rPr>
      </w:pPr>
      <w:r>
        <w:rPr>
          <w:color w:val="1E386B"/>
          <w:position w:val="-8"/>
          <w:sz w:val="28"/>
          <w:szCs w:val="28"/>
        </w:rPr>
        <w:drawing>
          <wp:inline distT="0" distB="0" distL="0" distR="0">
            <wp:extent cx="68580" cy="23812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07" cy="23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386B"/>
          <w:spacing w:val="34"/>
          <w:sz w:val="28"/>
          <w:szCs w:val="28"/>
        </w:rPr>
        <w:t xml:space="preserve">  </w:t>
      </w:r>
      <w:r>
        <w:rPr>
          <w:b/>
          <w:bCs/>
          <w:color w:val="1E386B"/>
          <w:spacing w:val="-6"/>
          <w:sz w:val="28"/>
          <w:szCs w:val="28"/>
        </w:rPr>
        <w:t>关于公司</w:t>
      </w:r>
    </w:p>
    <w:p w14:paraId="2668CBD7">
      <w:pPr>
        <w:pStyle w:val="2"/>
        <w:spacing w:before="223" w:line="272" w:lineRule="auto"/>
        <w:ind w:left="476" w:right="199" w:firstLine="493"/>
      </w:pPr>
      <w:r>
        <w:rPr>
          <w:spacing w:val="-5"/>
        </w:rPr>
        <w:t>宁国时代新能源有限公司位于安徽省宣城市宁国市，</w:t>
      </w:r>
      <w:r>
        <w:rPr>
          <w:b/>
          <w:bCs/>
          <w:color w:val="1E386B"/>
          <w:spacing w:val="-5"/>
          <w:sz w:val="28"/>
          <w:szCs w:val="28"/>
        </w:rPr>
        <w:t>是由世界</w:t>
      </w:r>
      <w:r>
        <w:rPr>
          <w:color w:val="1E386B"/>
          <w:spacing w:val="-5"/>
          <w:sz w:val="28"/>
          <w:szCs w:val="28"/>
        </w:rPr>
        <w:t xml:space="preserve"> </w:t>
      </w:r>
      <w:r>
        <w:rPr>
          <w:b/>
          <w:bCs/>
          <w:color w:val="1E386B"/>
          <w:spacing w:val="-5"/>
          <w:sz w:val="28"/>
          <w:szCs w:val="28"/>
        </w:rPr>
        <w:t>500</w:t>
      </w:r>
      <w:r>
        <w:rPr>
          <w:color w:val="1E386B"/>
          <w:spacing w:val="-5"/>
          <w:sz w:val="28"/>
          <w:szCs w:val="28"/>
        </w:rPr>
        <w:t xml:space="preserve"> </w:t>
      </w:r>
      <w:r>
        <w:rPr>
          <w:b/>
          <w:bCs/>
          <w:color w:val="1E386B"/>
          <w:spacing w:val="-5"/>
          <w:sz w:val="28"/>
          <w:szCs w:val="28"/>
        </w:rPr>
        <w:t>强吉利控股集团</w:t>
      </w:r>
      <w:r>
        <w:rPr>
          <w:b/>
          <w:bCs/>
          <w:color w:val="1E386B"/>
          <w:spacing w:val="-3"/>
          <w:sz w:val="28"/>
          <w:szCs w:val="28"/>
        </w:rPr>
        <w:t>旗下吉利科技集团利信能源投资建设的磷酸铁锂动力电池项目，专注于新能源</w:t>
      </w:r>
      <w:r>
        <w:rPr>
          <w:b/>
          <w:bCs/>
          <w:color w:val="1E386B"/>
          <w:spacing w:val="-7"/>
          <w:sz w:val="28"/>
          <w:szCs w:val="28"/>
        </w:rPr>
        <w:t>汽车动力电池的生产与制造。</w:t>
      </w:r>
      <w:r>
        <w:rPr>
          <w:color w:val="1E386B"/>
          <w:spacing w:val="-69"/>
          <w:sz w:val="28"/>
          <w:szCs w:val="28"/>
        </w:rPr>
        <w:t xml:space="preserve"> </w:t>
      </w:r>
      <w:r>
        <w:rPr>
          <w:spacing w:val="-7"/>
        </w:rPr>
        <w:t>项目总投资 72 亿元，占地 52</w:t>
      </w:r>
      <w:r>
        <w:rPr>
          <w:spacing w:val="-8"/>
        </w:rPr>
        <w:t>2 亩，建筑面积 23 万平方</w:t>
      </w:r>
      <w:r>
        <w:t xml:space="preserve"> </w:t>
      </w:r>
      <w:r>
        <w:rPr>
          <w:spacing w:val="-9"/>
        </w:rPr>
        <w:t>米，建设电芯装配厂房、分容静置厂房、PACK 模组厂房，原材料仓库、成品仓库、NMP 回收</w:t>
      </w:r>
      <w:r>
        <w:rPr>
          <w:spacing w:val="-1"/>
        </w:rPr>
        <w:t>及精馏等生产辅助类厂房，同步建设办公楼、宿舍楼、餐</w:t>
      </w:r>
      <w:r>
        <w:rPr>
          <w:spacing w:val="-2"/>
        </w:rPr>
        <w:t>厅等生活配套设施。</w:t>
      </w:r>
    </w:p>
    <w:p w14:paraId="39976A77">
      <w:pPr>
        <w:spacing w:line="4411" w:lineRule="exact"/>
        <w:ind w:firstLine="378"/>
      </w:pPr>
      <w:r>
        <w:rPr>
          <w:position w:val="-88"/>
        </w:rPr>
        <w:drawing>
          <wp:inline distT="0" distB="0" distL="0" distR="0">
            <wp:extent cx="6186170" cy="28003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28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7B4CC">
      <w:pPr>
        <w:pStyle w:val="2"/>
        <w:spacing w:before="297" w:line="257" w:lineRule="auto"/>
        <w:ind w:left="476" w:right="195" w:firstLine="485"/>
      </w:pPr>
      <w:r>
        <w:rPr>
          <w:spacing w:val="-10"/>
        </w:rPr>
        <w:t>项目于 2024 年 5 月投产，规划产能 12GWh，建设 5 条全自动产线，可兼容三元及磷酸铁</w:t>
      </w:r>
      <w:r>
        <w:rPr>
          <w:spacing w:val="-8"/>
        </w:rPr>
        <w:t>锂电池的生产，配置行业先进的制造设备，自动化率达到 98.5%；全面应用 MES 系统，可实</w:t>
      </w:r>
      <w:r>
        <w:rPr>
          <w:spacing w:val="-1"/>
        </w:rPr>
        <w:t>现产品全生命周期的信息追溯。引入智能制造系统，实现智能物流、智能监控、智</w:t>
      </w:r>
      <w:r>
        <w:rPr>
          <w:spacing w:val="-2"/>
        </w:rPr>
        <w:t>能检测、</w:t>
      </w:r>
    </w:p>
    <w:p w14:paraId="3BC60F0B">
      <w:pPr>
        <w:pStyle w:val="2"/>
        <w:spacing w:before="1" w:line="190" w:lineRule="auto"/>
        <w:ind w:left="483"/>
      </w:pPr>
      <w:r>
        <w:rPr>
          <w:spacing w:val="-5"/>
        </w:rPr>
        <w:t>智能决策、智能处理等。</w:t>
      </w:r>
    </w:p>
    <w:p w14:paraId="2C90F0E7">
      <w:pPr>
        <w:pStyle w:val="2"/>
        <w:spacing w:before="122" w:line="257" w:lineRule="auto"/>
        <w:ind w:left="476" w:right="374" w:firstLine="488"/>
      </w:pPr>
      <w:r>
        <w:rPr>
          <w:spacing w:val="-1"/>
        </w:rPr>
        <w:t>公司管理制度完善，技术团队实力雄厚，核心业务骨</w:t>
      </w:r>
      <w:r>
        <w:rPr>
          <w:spacing w:val="-2"/>
        </w:rPr>
        <w:t>干均有锂电行业 10 年以上从业经</w:t>
      </w:r>
      <w:r>
        <w:rPr>
          <w:spacing w:val="18"/>
        </w:rPr>
        <w:t>验，人才培养、“共同富裕”、“六险一金”、“节日福利”</w:t>
      </w:r>
      <w:r>
        <w:rPr>
          <w:spacing w:val="17"/>
        </w:rPr>
        <w:t>等福利政策齐全。</w:t>
      </w:r>
    </w:p>
    <w:p w14:paraId="27880182">
      <w:pPr>
        <w:pStyle w:val="2"/>
        <w:spacing w:before="5" w:line="266" w:lineRule="auto"/>
        <w:ind w:left="475" w:right="255" w:firstLine="494"/>
      </w:pPr>
      <w:r>
        <w:rPr>
          <w:spacing w:val="8"/>
        </w:rPr>
        <w:t>宁国时代秉承“让世界充满吉利”的愿景和“求真务实、拼搏进取、协作创新、持续精</w:t>
      </w:r>
      <w:r>
        <w:rPr>
          <w:spacing w:val="2"/>
        </w:rPr>
        <w:t>进”的价值观，坚持绿色可持续发展理念，为客户、社区和全</w:t>
      </w:r>
      <w:r>
        <w:rPr>
          <w:spacing w:val="1"/>
        </w:rPr>
        <w:t>社会带来一个可持续的未来。</w:t>
      </w:r>
      <w:r>
        <w:rPr>
          <w:spacing w:val="-6"/>
        </w:rPr>
        <w:t xml:space="preserve">项目投产预计年产值 100 亿元，税收 5 亿元，创造就业岗位 1500 </w:t>
      </w:r>
      <w:r>
        <w:rPr>
          <w:spacing w:val="-7"/>
        </w:rPr>
        <w:t>余人。</w:t>
      </w:r>
    </w:p>
    <w:p w14:paraId="01C8A742">
      <w:pPr>
        <w:spacing w:line="266" w:lineRule="auto"/>
        <w:sectPr>
          <w:headerReference r:id="rId5" w:type="default"/>
          <w:footerReference r:id="rId6" w:type="default"/>
          <w:pgSz w:w="11907" w:h="16839"/>
          <w:pgMar w:top="1168" w:right="970" w:bottom="1360" w:left="612" w:header="405" w:footer="936" w:gutter="0"/>
          <w:cols w:space="720" w:num="1"/>
        </w:sectPr>
      </w:pPr>
    </w:p>
    <w:p w14:paraId="4F68B098">
      <w:pPr>
        <w:spacing w:line="272" w:lineRule="auto"/>
        <w:rPr>
          <w:rFonts w:ascii="Arial"/>
          <w:sz w:val="21"/>
        </w:rPr>
      </w:pPr>
    </w:p>
    <w:p w14:paraId="36DFE375">
      <w:pPr>
        <w:pStyle w:val="2"/>
        <w:spacing w:before="127" w:line="207" w:lineRule="auto"/>
        <w:rPr>
          <w:sz w:val="28"/>
          <w:szCs w:val="28"/>
        </w:rPr>
      </w:pPr>
      <w:r>
        <w:rPr>
          <w:position w:val="-87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436245</wp:posOffset>
            </wp:positionH>
            <wp:positionV relativeFrom="paragraph">
              <wp:posOffset>39370</wp:posOffset>
            </wp:positionV>
            <wp:extent cx="5793740" cy="2762885"/>
            <wp:effectExtent l="0" t="0" r="22860" b="5715"/>
            <wp:wrapSquare wrapText="bothSides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94248" cy="2763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52A6E3">
      <w:pPr>
        <w:pStyle w:val="2"/>
        <w:spacing w:before="87" w:line="4805" w:lineRule="exact"/>
        <w:jc w:val="center"/>
      </w:pPr>
    </w:p>
    <w:p w14:paraId="2A9B0A8C">
      <w:pPr>
        <w:spacing w:line="155" w:lineRule="exact"/>
      </w:pPr>
    </w:p>
    <w:tbl>
      <w:tblPr>
        <w:tblStyle w:val="5"/>
        <w:tblW w:w="10424" w:type="dxa"/>
        <w:tblInd w:w="19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2133"/>
        <w:gridCol w:w="3946"/>
        <w:gridCol w:w="2980"/>
      </w:tblGrid>
      <w:tr w14:paraId="26AEA543">
        <w:trPr>
          <w:trHeight w:val="364" w:hRule="atLeast"/>
        </w:trPr>
        <w:tc>
          <w:tcPr>
            <w:tcW w:w="1365" w:type="dxa"/>
            <w:vAlign w:val="top"/>
          </w:tcPr>
          <w:p w14:paraId="04DABE71">
            <w:pPr>
              <w:pStyle w:val="6"/>
              <w:spacing w:before="62" w:line="160" w:lineRule="auto"/>
              <w:ind w:left="206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招聘岗位</w:t>
            </w:r>
          </w:p>
        </w:tc>
        <w:tc>
          <w:tcPr>
            <w:tcW w:w="2133" w:type="dxa"/>
            <w:vAlign w:val="top"/>
          </w:tcPr>
          <w:p w14:paraId="1CC78D6B">
            <w:pPr>
              <w:pStyle w:val="6"/>
              <w:spacing w:before="62" w:line="160" w:lineRule="auto"/>
              <w:ind w:left="589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细分方向</w:t>
            </w:r>
          </w:p>
        </w:tc>
        <w:tc>
          <w:tcPr>
            <w:tcW w:w="3946" w:type="dxa"/>
            <w:vAlign w:val="top"/>
          </w:tcPr>
          <w:p w14:paraId="5F3D0CEB">
            <w:pPr>
              <w:pStyle w:val="6"/>
              <w:spacing w:before="62" w:line="160" w:lineRule="auto"/>
              <w:ind w:left="1499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工作内容</w:t>
            </w:r>
          </w:p>
        </w:tc>
        <w:tc>
          <w:tcPr>
            <w:tcW w:w="2980" w:type="dxa"/>
            <w:vAlign w:val="top"/>
          </w:tcPr>
          <w:p w14:paraId="5AD16D2C">
            <w:pPr>
              <w:pStyle w:val="6"/>
              <w:spacing w:before="62" w:line="160" w:lineRule="auto"/>
              <w:ind w:left="1016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招聘要求</w:t>
            </w:r>
          </w:p>
        </w:tc>
      </w:tr>
      <w:tr w14:paraId="6ABC1FE2">
        <w:trPr>
          <w:trHeight w:val="1533" w:hRule="atLeast"/>
        </w:trPr>
        <w:tc>
          <w:tcPr>
            <w:tcW w:w="1365" w:type="dxa"/>
            <w:vMerge w:val="restart"/>
            <w:tcBorders>
              <w:bottom w:val="nil"/>
            </w:tcBorders>
            <w:vAlign w:val="top"/>
          </w:tcPr>
          <w:p w14:paraId="1CB1697D">
            <w:pPr>
              <w:rPr>
                <w:rFonts w:ascii="Arial"/>
                <w:sz w:val="21"/>
              </w:rPr>
            </w:pPr>
          </w:p>
          <w:p w14:paraId="2A0C5507">
            <w:pPr>
              <w:rPr>
                <w:rFonts w:ascii="Arial"/>
                <w:sz w:val="21"/>
              </w:rPr>
            </w:pPr>
          </w:p>
          <w:p w14:paraId="2355698F">
            <w:pPr>
              <w:rPr>
                <w:rFonts w:ascii="Arial"/>
                <w:sz w:val="21"/>
              </w:rPr>
            </w:pPr>
          </w:p>
          <w:p w14:paraId="72D28A70">
            <w:pPr>
              <w:rPr>
                <w:rFonts w:ascii="Arial"/>
                <w:sz w:val="21"/>
              </w:rPr>
            </w:pPr>
          </w:p>
          <w:p w14:paraId="19ABE712">
            <w:pPr>
              <w:spacing w:line="241" w:lineRule="auto"/>
              <w:rPr>
                <w:rFonts w:ascii="Arial"/>
                <w:sz w:val="21"/>
              </w:rPr>
            </w:pPr>
          </w:p>
          <w:p w14:paraId="27C6866C">
            <w:pPr>
              <w:spacing w:line="241" w:lineRule="auto"/>
              <w:rPr>
                <w:rFonts w:ascii="Arial"/>
                <w:sz w:val="21"/>
              </w:rPr>
            </w:pPr>
          </w:p>
          <w:p w14:paraId="77563C4E">
            <w:pPr>
              <w:spacing w:line="241" w:lineRule="auto"/>
              <w:rPr>
                <w:rFonts w:ascii="Arial"/>
                <w:sz w:val="21"/>
              </w:rPr>
            </w:pPr>
          </w:p>
          <w:p w14:paraId="6CA32ECD">
            <w:pPr>
              <w:spacing w:line="241" w:lineRule="auto"/>
              <w:rPr>
                <w:rFonts w:ascii="Arial"/>
                <w:sz w:val="21"/>
              </w:rPr>
            </w:pPr>
          </w:p>
          <w:p w14:paraId="2B81F6BB">
            <w:pPr>
              <w:spacing w:line="241" w:lineRule="auto"/>
              <w:rPr>
                <w:rFonts w:ascii="Arial"/>
                <w:sz w:val="21"/>
              </w:rPr>
            </w:pPr>
          </w:p>
          <w:p w14:paraId="6E3D8FFC">
            <w:pPr>
              <w:spacing w:line="241" w:lineRule="auto"/>
              <w:rPr>
                <w:rFonts w:ascii="Arial"/>
                <w:sz w:val="21"/>
              </w:rPr>
            </w:pPr>
          </w:p>
          <w:p w14:paraId="11EAE6EA">
            <w:pPr>
              <w:spacing w:line="241" w:lineRule="auto"/>
              <w:rPr>
                <w:rFonts w:ascii="Arial"/>
                <w:sz w:val="21"/>
              </w:rPr>
            </w:pPr>
          </w:p>
          <w:p w14:paraId="19527DC2">
            <w:pPr>
              <w:spacing w:line="241" w:lineRule="auto"/>
              <w:rPr>
                <w:rFonts w:ascii="Arial"/>
                <w:sz w:val="21"/>
              </w:rPr>
            </w:pPr>
          </w:p>
          <w:p w14:paraId="283E43F8">
            <w:pPr>
              <w:spacing w:line="241" w:lineRule="auto"/>
              <w:rPr>
                <w:rFonts w:ascii="Arial"/>
                <w:sz w:val="21"/>
              </w:rPr>
            </w:pPr>
          </w:p>
          <w:p w14:paraId="35557564">
            <w:pPr>
              <w:pStyle w:val="6"/>
              <w:spacing w:before="110" w:line="190" w:lineRule="auto"/>
              <w:ind w:left="447" w:right="199" w:hanging="240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生产储备干部</w:t>
            </w:r>
          </w:p>
        </w:tc>
        <w:tc>
          <w:tcPr>
            <w:tcW w:w="2133" w:type="dxa"/>
            <w:vAlign w:val="top"/>
          </w:tcPr>
          <w:p w14:paraId="29AFA285">
            <w:pPr>
              <w:spacing w:line="276" w:lineRule="auto"/>
              <w:rPr>
                <w:rFonts w:ascii="Arial"/>
                <w:sz w:val="21"/>
              </w:rPr>
            </w:pPr>
          </w:p>
          <w:p w14:paraId="563F8434">
            <w:pPr>
              <w:spacing w:line="276" w:lineRule="auto"/>
              <w:rPr>
                <w:rFonts w:ascii="Arial"/>
                <w:sz w:val="21"/>
              </w:rPr>
            </w:pPr>
          </w:p>
          <w:p w14:paraId="3B8216C0">
            <w:pPr>
              <w:pStyle w:val="6"/>
              <w:spacing w:before="100" w:line="191" w:lineRule="auto"/>
              <w:ind w:left="409"/>
            </w:pPr>
            <w:r>
              <w:rPr>
                <w:b/>
                <w:bCs/>
                <w:spacing w:val="-4"/>
              </w:rPr>
              <w:t>生产技术方向</w:t>
            </w:r>
          </w:p>
        </w:tc>
        <w:tc>
          <w:tcPr>
            <w:tcW w:w="3946" w:type="dxa"/>
            <w:vAlign w:val="top"/>
          </w:tcPr>
          <w:p w14:paraId="4C26B065">
            <w:pPr>
              <w:pStyle w:val="6"/>
              <w:spacing w:before="85" w:line="171" w:lineRule="auto"/>
              <w:ind w:left="114" w:right="252" w:firstLine="15"/>
            </w:pPr>
            <w:r>
              <w:rPr>
                <w:spacing w:val="2"/>
              </w:rPr>
              <w:t>1. 负责动力电池生产工序机台设备操</w:t>
            </w:r>
            <w:r>
              <w:rPr>
                <w:spacing w:val="-1"/>
              </w:rPr>
              <w:t>作，按标准完成电芯装配、化成检测</w:t>
            </w:r>
            <w:r>
              <w:rPr>
                <w:spacing w:val="-6"/>
              </w:rPr>
              <w:t>等生产工作；</w:t>
            </w:r>
          </w:p>
          <w:p w14:paraId="22703A36">
            <w:pPr>
              <w:pStyle w:val="6"/>
              <w:spacing w:line="171" w:lineRule="auto"/>
              <w:ind w:left="116"/>
            </w:pPr>
            <w:r>
              <w:rPr>
                <w:spacing w:val="-2"/>
              </w:rPr>
              <w:t>2. 实时监控生产异常并处理反馈；</w:t>
            </w:r>
          </w:p>
          <w:p w14:paraId="270B2815">
            <w:pPr>
              <w:pStyle w:val="6"/>
              <w:spacing w:line="177" w:lineRule="auto"/>
              <w:ind w:left="118"/>
            </w:pPr>
            <w:r>
              <w:t>3.</w:t>
            </w:r>
            <w:r>
              <w:rPr>
                <w:spacing w:val="56"/>
                <w:w w:val="101"/>
              </w:rPr>
              <w:t xml:space="preserve"> </w:t>
            </w:r>
            <w:r>
              <w:t>执行上级安排的生产相关任务。</w:t>
            </w:r>
          </w:p>
        </w:tc>
        <w:tc>
          <w:tcPr>
            <w:tcW w:w="2980" w:type="dxa"/>
            <w:vMerge w:val="restart"/>
            <w:tcBorders>
              <w:bottom w:val="nil"/>
            </w:tcBorders>
            <w:vAlign w:val="top"/>
          </w:tcPr>
          <w:p w14:paraId="2F9C14ED">
            <w:pPr>
              <w:spacing w:line="269" w:lineRule="auto"/>
              <w:rPr>
                <w:rFonts w:ascii="Arial"/>
                <w:sz w:val="21"/>
              </w:rPr>
            </w:pPr>
          </w:p>
          <w:p w14:paraId="2F3388B1">
            <w:pPr>
              <w:spacing w:line="269" w:lineRule="auto"/>
              <w:rPr>
                <w:rFonts w:ascii="Arial"/>
                <w:sz w:val="21"/>
              </w:rPr>
            </w:pPr>
          </w:p>
          <w:p w14:paraId="05DA03C0">
            <w:pPr>
              <w:spacing w:line="269" w:lineRule="auto"/>
              <w:rPr>
                <w:rFonts w:ascii="Arial"/>
                <w:sz w:val="21"/>
              </w:rPr>
            </w:pPr>
          </w:p>
          <w:p w14:paraId="2F84145C">
            <w:pPr>
              <w:spacing w:line="269" w:lineRule="auto"/>
              <w:rPr>
                <w:rFonts w:ascii="Arial"/>
                <w:sz w:val="21"/>
              </w:rPr>
            </w:pPr>
          </w:p>
          <w:p w14:paraId="6CE77D7A">
            <w:pPr>
              <w:spacing w:line="270" w:lineRule="auto"/>
              <w:rPr>
                <w:rFonts w:ascii="Arial"/>
                <w:sz w:val="21"/>
              </w:rPr>
            </w:pPr>
          </w:p>
          <w:p w14:paraId="787263B2">
            <w:pPr>
              <w:spacing w:line="270" w:lineRule="auto"/>
              <w:rPr>
                <w:rFonts w:ascii="Arial"/>
                <w:sz w:val="21"/>
              </w:rPr>
            </w:pPr>
          </w:p>
          <w:p w14:paraId="73B88AA6">
            <w:pPr>
              <w:spacing w:line="270" w:lineRule="auto"/>
              <w:rPr>
                <w:rFonts w:ascii="Arial"/>
                <w:sz w:val="21"/>
              </w:rPr>
            </w:pPr>
          </w:p>
          <w:p w14:paraId="2EA0C9C4">
            <w:pPr>
              <w:pStyle w:val="6"/>
              <w:spacing w:before="100" w:line="171" w:lineRule="auto"/>
              <w:ind w:left="115" w:right="147" w:firstLine="17"/>
            </w:pPr>
            <w:r>
              <w:t>1.</w:t>
            </w:r>
            <w:r>
              <w:rPr>
                <w:spacing w:val="54"/>
                <w:w w:val="101"/>
              </w:rPr>
              <w:t xml:space="preserve"> </w:t>
            </w:r>
            <w:r>
              <w:t>大专及以上学历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工科大类优先、部分岗位专业不限</w:t>
            </w:r>
            <w:r>
              <w:rPr>
                <w:spacing w:val="-7"/>
              </w:rPr>
              <w:t>；</w:t>
            </w:r>
          </w:p>
          <w:p w14:paraId="5999D5EF">
            <w:pPr>
              <w:pStyle w:val="6"/>
              <w:spacing w:line="171" w:lineRule="auto"/>
              <w:ind w:left="118" w:right="114"/>
            </w:pPr>
            <w:r>
              <w:t>2.</w:t>
            </w:r>
            <w:r>
              <w:rPr>
                <w:spacing w:val="57"/>
              </w:rPr>
              <w:t xml:space="preserve"> </w:t>
            </w:r>
            <w:r>
              <w:t>学习能力强，具备基础设</w:t>
            </w:r>
            <w:r>
              <w:rPr>
                <w:spacing w:val="-6"/>
              </w:rPr>
              <w:t>备操作认知；</w:t>
            </w:r>
          </w:p>
          <w:p w14:paraId="7C8AB536">
            <w:pPr>
              <w:pStyle w:val="6"/>
              <w:spacing w:before="3" w:line="170" w:lineRule="auto"/>
              <w:ind w:left="115" w:right="335" w:firstLine="5"/>
            </w:pPr>
            <w:r>
              <w:t>3.</w:t>
            </w:r>
            <w:r>
              <w:rPr>
                <w:spacing w:val="54"/>
              </w:rPr>
              <w:t xml:space="preserve"> </w:t>
            </w:r>
            <w:r>
              <w:t>接受从基础一线岗位起</w:t>
            </w:r>
            <w:r>
              <w:rPr>
                <w:spacing w:val="-1"/>
              </w:rPr>
              <w:t>步，能沉下心积累实操经</w:t>
            </w:r>
            <w:r>
              <w:rPr>
                <w:spacing w:val="-15"/>
              </w:rPr>
              <w:t>验；</w:t>
            </w:r>
          </w:p>
          <w:p w14:paraId="08E3B15F">
            <w:pPr>
              <w:pStyle w:val="6"/>
              <w:spacing w:line="186" w:lineRule="auto"/>
              <w:ind w:left="116" w:right="114" w:hanging="1"/>
            </w:pPr>
            <w:r>
              <w:t>4.</w:t>
            </w:r>
            <w:r>
              <w:rPr>
                <w:spacing w:val="60"/>
              </w:rPr>
              <w:t xml:space="preserve"> </w:t>
            </w:r>
            <w:r>
              <w:t>能适应倒班</w:t>
            </w:r>
            <w:bookmarkStart w:id="0" w:name="_GoBack"/>
            <w:bookmarkEnd w:id="0"/>
            <w:r>
              <w:rPr>
                <w:spacing w:val="-4"/>
              </w:rPr>
              <w:t>，责任心强。</w:t>
            </w:r>
          </w:p>
        </w:tc>
      </w:tr>
      <w:tr w14:paraId="1CCFE7F7">
        <w:trPr>
          <w:trHeight w:val="1827" w:hRule="atLeast"/>
        </w:trPr>
        <w:tc>
          <w:tcPr>
            <w:tcW w:w="1365" w:type="dxa"/>
            <w:vMerge w:val="continue"/>
            <w:tcBorders>
              <w:top w:val="nil"/>
              <w:bottom w:val="nil"/>
            </w:tcBorders>
            <w:vAlign w:val="top"/>
          </w:tcPr>
          <w:p w14:paraId="09E0E7C7">
            <w:pPr>
              <w:rPr>
                <w:rFonts w:ascii="Arial"/>
                <w:sz w:val="21"/>
              </w:rPr>
            </w:pPr>
          </w:p>
        </w:tc>
        <w:tc>
          <w:tcPr>
            <w:tcW w:w="2133" w:type="dxa"/>
            <w:vAlign w:val="top"/>
          </w:tcPr>
          <w:p w14:paraId="281098E2">
            <w:pPr>
              <w:spacing w:line="350" w:lineRule="auto"/>
              <w:rPr>
                <w:rFonts w:ascii="Arial"/>
                <w:sz w:val="21"/>
              </w:rPr>
            </w:pPr>
          </w:p>
          <w:p w14:paraId="74CFA036">
            <w:pPr>
              <w:spacing w:line="351" w:lineRule="auto"/>
              <w:rPr>
                <w:rFonts w:ascii="Arial"/>
                <w:sz w:val="21"/>
              </w:rPr>
            </w:pPr>
          </w:p>
          <w:p w14:paraId="131ECA31">
            <w:pPr>
              <w:pStyle w:val="6"/>
              <w:spacing w:before="100" w:line="191" w:lineRule="auto"/>
              <w:ind w:left="411"/>
            </w:pPr>
            <w:r>
              <w:rPr>
                <w:b/>
                <w:bCs/>
                <w:spacing w:val="-4"/>
              </w:rPr>
              <w:t>设备技术方向</w:t>
            </w:r>
          </w:p>
        </w:tc>
        <w:tc>
          <w:tcPr>
            <w:tcW w:w="3946" w:type="dxa"/>
            <w:vAlign w:val="top"/>
          </w:tcPr>
          <w:p w14:paraId="01E8C17B">
            <w:pPr>
              <w:pStyle w:val="6"/>
              <w:spacing w:before="234" w:line="171" w:lineRule="auto"/>
              <w:ind w:left="130"/>
            </w:pPr>
            <w:r>
              <w:rPr>
                <w:spacing w:val="-1"/>
              </w:rPr>
              <w:t>1. 负责设备日常维护、点检、保养；</w:t>
            </w:r>
          </w:p>
          <w:p w14:paraId="39D384B1">
            <w:pPr>
              <w:pStyle w:val="6"/>
              <w:spacing w:line="171" w:lineRule="auto"/>
              <w:ind w:left="116" w:right="141"/>
            </w:pPr>
            <w:r>
              <w:rPr>
                <w:spacing w:val="-1"/>
              </w:rPr>
              <w:t>2.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申请更换工装夹/治具，设备换型或</w:t>
            </w:r>
            <w:r>
              <w:rPr>
                <w:spacing w:val="-2"/>
              </w:rPr>
              <w:t>维修时及时更换；</w:t>
            </w:r>
          </w:p>
          <w:p w14:paraId="11168BA1">
            <w:pPr>
              <w:pStyle w:val="6"/>
              <w:spacing w:before="2" w:line="187" w:lineRule="auto"/>
              <w:ind w:left="118" w:right="252"/>
            </w:pPr>
            <w:r>
              <w:t>3. 协助自动化方案设计与改造，操作</w:t>
            </w:r>
            <w:r>
              <w:rPr>
                <w:spacing w:val="-3"/>
              </w:rPr>
              <w:t>智能自动化设备完成生产交互。</w:t>
            </w:r>
          </w:p>
        </w:tc>
        <w:tc>
          <w:tcPr>
            <w:tcW w:w="2980" w:type="dxa"/>
            <w:vMerge w:val="continue"/>
            <w:tcBorders>
              <w:top w:val="nil"/>
              <w:bottom w:val="nil"/>
            </w:tcBorders>
            <w:vAlign w:val="top"/>
          </w:tcPr>
          <w:p w14:paraId="53EAEA43">
            <w:pPr>
              <w:rPr>
                <w:rFonts w:ascii="Arial"/>
                <w:sz w:val="21"/>
              </w:rPr>
            </w:pPr>
          </w:p>
        </w:tc>
      </w:tr>
      <w:tr w14:paraId="60457749">
        <w:trPr>
          <w:trHeight w:val="1830" w:hRule="atLeast"/>
        </w:trPr>
        <w:tc>
          <w:tcPr>
            <w:tcW w:w="1365" w:type="dxa"/>
            <w:vMerge w:val="continue"/>
            <w:tcBorders>
              <w:top w:val="nil"/>
              <w:bottom w:val="nil"/>
            </w:tcBorders>
            <w:vAlign w:val="top"/>
          </w:tcPr>
          <w:p w14:paraId="4791DE24">
            <w:pPr>
              <w:rPr>
                <w:rFonts w:ascii="Arial"/>
                <w:sz w:val="21"/>
              </w:rPr>
            </w:pPr>
          </w:p>
        </w:tc>
        <w:tc>
          <w:tcPr>
            <w:tcW w:w="2133" w:type="dxa"/>
            <w:vAlign w:val="top"/>
          </w:tcPr>
          <w:p w14:paraId="668F5D85">
            <w:pPr>
              <w:spacing w:line="351" w:lineRule="auto"/>
              <w:rPr>
                <w:rFonts w:ascii="Arial"/>
                <w:sz w:val="21"/>
              </w:rPr>
            </w:pPr>
          </w:p>
          <w:p w14:paraId="1529C902">
            <w:pPr>
              <w:spacing w:line="351" w:lineRule="auto"/>
              <w:rPr>
                <w:rFonts w:ascii="Arial"/>
                <w:sz w:val="21"/>
              </w:rPr>
            </w:pPr>
          </w:p>
          <w:p w14:paraId="42D3917D">
            <w:pPr>
              <w:pStyle w:val="6"/>
              <w:spacing w:before="100" w:line="191" w:lineRule="auto"/>
              <w:ind w:left="409"/>
            </w:pPr>
            <w:r>
              <w:rPr>
                <w:b/>
                <w:bCs/>
                <w:spacing w:val="-4"/>
              </w:rPr>
              <w:t>生产管理方向</w:t>
            </w:r>
          </w:p>
        </w:tc>
        <w:tc>
          <w:tcPr>
            <w:tcW w:w="3946" w:type="dxa"/>
            <w:vAlign w:val="top"/>
          </w:tcPr>
          <w:p w14:paraId="4AD0F960">
            <w:pPr>
              <w:pStyle w:val="6"/>
              <w:spacing w:before="94" w:line="171" w:lineRule="auto"/>
              <w:ind w:left="114" w:right="252" w:firstLine="15"/>
            </w:pPr>
            <w:r>
              <w:rPr>
                <w:spacing w:val="2"/>
              </w:rPr>
              <w:t>1. 参与生产工序现场执行，熟悉生产</w:t>
            </w:r>
            <w:r>
              <w:rPr>
                <w:spacing w:val="-6"/>
              </w:rPr>
              <w:t>流程与标准；</w:t>
            </w:r>
          </w:p>
          <w:p w14:paraId="43423E15">
            <w:pPr>
              <w:pStyle w:val="6"/>
              <w:spacing w:line="171" w:lineRule="auto"/>
              <w:ind w:left="112" w:right="252" w:firstLine="3"/>
            </w:pPr>
            <w:r>
              <w:t>2. 协助班组管理、新员工带教、生产</w:t>
            </w:r>
            <w:r>
              <w:rPr>
                <w:spacing w:val="-1"/>
              </w:rPr>
              <w:t>任务分配；</w:t>
            </w:r>
          </w:p>
          <w:p w14:paraId="70E526EC">
            <w:pPr>
              <w:pStyle w:val="6"/>
              <w:spacing w:before="3" w:line="174" w:lineRule="auto"/>
              <w:ind w:left="113" w:right="347" w:firstLine="4"/>
            </w:pPr>
            <w:r>
              <w:t>3.</w:t>
            </w:r>
            <w:r>
              <w:rPr>
                <w:spacing w:val="55"/>
              </w:rPr>
              <w:t xml:space="preserve"> </w:t>
            </w:r>
            <w:r>
              <w:t>跟进生产进度，协调解决现场问</w:t>
            </w:r>
            <w:r>
              <w:rPr>
                <w:spacing w:val="-3"/>
              </w:rPr>
              <w:t>题，完成上级安排的管理相关工作。</w:t>
            </w:r>
          </w:p>
        </w:tc>
        <w:tc>
          <w:tcPr>
            <w:tcW w:w="2980" w:type="dxa"/>
            <w:vMerge w:val="continue"/>
            <w:tcBorders>
              <w:top w:val="nil"/>
              <w:bottom w:val="nil"/>
            </w:tcBorders>
            <w:vAlign w:val="top"/>
          </w:tcPr>
          <w:p w14:paraId="7CC8E4A5">
            <w:pPr>
              <w:rPr>
                <w:rFonts w:ascii="Arial"/>
                <w:sz w:val="21"/>
              </w:rPr>
            </w:pPr>
          </w:p>
        </w:tc>
      </w:tr>
      <w:tr w14:paraId="73664DB9">
        <w:trPr>
          <w:trHeight w:val="1866" w:hRule="atLeast"/>
        </w:trPr>
        <w:tc>
          <w:tcPr>
            <w:tcW w:w="1365" w:type="dxa"/>
            <w:vMerge w:val="continue"/>
            <w:tcBorders>
              <w:top w:val="nil"/>
            </w:tcBorders>
            <w:vAlign w:val="top"/>
          </w:tcPr>
          <w:p w14:paraId="5D35D862">
            <w:pPr>
              <w:rPr>
                <w:rFonts w:ascii="Arial"/>
                <w:sz w:val="21"/>
              </w:rPr>
            </w:pPr>
          </w:p>
        </w:tc>
        <w:tc>
          <w:tcPr>
            <w:tcW w:w="2133" w:type="dxa"/>
            <w:vAlign w:val="top"/>
          </w:tcPr>
          <w:p w14:paraId="5CA8C3BC">
            <w:pPr>
              <w:rPr>
                <w:rFonts w:ascii="Arial"/>
                <w:sz w:val="21"/>
              </w:rPr>
            </w:pPr>
          </w:p>
          <w:p w14:paraId="5E4D0411">
            <w:pPr>
              <w:rPr>
                <w:rFonts w:ascii="Arial"/>
                <w:sz w:val="21"/>
              </w:rPr>
            </w:pPr>
          </w:p>
          <w:p w14:paraId="062EFA7F">
            <w:pPr>
              <w:spacing w:line="241" w:lineRule="auto"/>
              <w:rPr>
                <w:rFonts w:ascii="Arial"/>
                <w:sz w:val="21"/>
              </w:rPr>
            </w:pPr>
          </w:p>
          <w:p w14:paraId="23EDE0ED">
            <w:pPr>
              <w:pStyle w:val="6"/>
              <w:spacing w:before="100" w:line="191" w:lineRule="auto"/>
              <w:ind w:left="425"/>
            </w:pPr>
            <w:r>
              <w:rPr>
                <w:b/>
                <w:bCs/>
                <w:spacing w:val="-6"/>
              </w:rPr>
              <w:t>品质技术方向</w:t>
            </w:r>
          </w:p>
        </w:tc>
        <w:tc>
          <w:tcPr>
            <w:tcW w:w="3946" w:type="dxa"/>
            <w:vAlign w:val="top"/>
          </w:tcPr>
          <w:p w14:paraId="71F4D7FA">
            <w:pPr>
              <w:pStyle w:val="6"/>
              <w:spacing w:before="110" w:line="171" w:lineRule="auto"/>
              <w:ind w:left="116" w:right="252" w:firstLine="13"/>
            </w:pPr>
            <w:r>
              <w:rPr>
                <w:spacing w:val="2"/>
              </w:rPr>
              <w:t>1. 执行不良品记录、分类、分析与处</w:t>
            </w:r>
            <w:r>
              <w:rPr>
                <w:spacing w:val="-12"/>
              </w:rPr>
              <w:t>理流程；</w:t>
            </w:r>
          </w:p>
          <w:p w14:paraId="742BB6CE">
            <w:pPr>
              <w:pStyle w:val="6"/>
              <w:spacing w:line="171" w:lineRule="auto"/>
              <w:ind w:left="112" w:right="473" w:firstLine="3"/>
            </w:pPr>
            <w:r>
              <w:t>2. 运用检测工具按标准开展产品检</w:t>
            </w:r>
            <w:r>
              <w:rPr>
                <w:spacing w:val="-15"/>
              </w:rPr>
              <w:t>验；</w:t>
            </w:r>
          </w:p>
          <w:p w14:paraId="1B173C13">
            <w:pPr>
              <w:pStyle w:val="6"/>
              <w:spacing w:before="3" w:line="180" w:lineRule="auto"/>
              <w:ind w:left="118" w:right="202"/>
            </w:pPr>
            <w:r>
              <w:t>3.</w:t>
            </w:r>
            <w:r>
              <w:rPr>
                <w:spacing w:val="56"/>
              </w:rPr>
              <w:t xml:space="preserve"> </w:t>
            </w:r>
            <w:r>
              <w:t>排查品质异常原因，整理检测数据</w:t>
            </w:r>
            <w:r>
              <w:rPr>
                <w:spacing w:val="-4"/>
              </w:rPr>
              <w:t>并形成报告推动改进。</w:t>
            </w:r>
          </w:p>
        </w:tc>
        <w:tc>
          <w:tcPr>
            <w:tcW w:w="2980" w:type="dxa"/>
            <w:vMerge w:val="continue"/>
            <w:tcBorders>
              <w:top w:val="nil"/>
            </w:tcBorders>
            <w:vAlign w:val="top"/>
          </w:tcPr>
          <w:p w14:paraId="25745064">
            <w:pPr>
              <w:rPr>
                <w:rFonts w:ascii="Arial"/>
                <w:sz w:val="21"/>
              </w:rPr>
            </w:pPr>
          </w:p>
        </w:tc>
      </w:tr>
    </w:tbl>
    <w:p w14:paraId="390DD2F5">
      <w:pPr>
        <w:rPr>
          <w:rFonts w:ascii="Arial"/>
          <w:sz w:val="21"/>
        </w:rPr>
      </w:pPr>
    </w:p>
    <w:p w14:paraId="4EE581A7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07" w:h="16839"/>
          <w:pgMar w:top="1168" w:right="621" w:bottom="1360" w:left="547" w:header="405" w:footer="936" w:gutter="0"/>
          <w:cols w:space="720" w:num="1"/>
        </w:sectPr>
      </w:pPr>
    </w:p>
    <w:p w14:paraId="69D1A23A">
      <w:pPr>
        <w:spacing w:line="259" w:lineRule="auto"/>
        <w:rPr>
          <w:rFonts w:ascii="Arial"/>
          <w:sz w:val="21"/>
        </w:rPr>
      </w:pPr>
    </w:p>
    <w:p w14:paraId="4ACF8BB1">
      <w:pPr>
        <w:pStyle w:val="2"/>
        <w:spacing w:before="128" w:line="212" w:lineRule="auto"/>
        <w:ind w:left="273"/>
        <w:rPr>
          <w:sz w:val="28"/>
          <w:szCs w:val="28"/>
        </w:rPr>
      </w:pPr>
      <w:r>
        <w:rPr>
          <w:color w:val="1E386B"/>
          <w:position w:val="-8"/>
          <w:sz w:val="28"/>
          <w:szCs w:val="28"/>
        </w:rPr>
        <w:drawing>
          <wp:inline distT="0" distB="0" distL="0" distR="0">
            <wp:extent cx="68580" cy="23812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707" cy="23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386B"/>
          <w:spacing w:val="67"/>
          <w:sz w:val="28"/>
          <w:szCs w:val="28"/>
        </w:rPr>
        <w:t xml:space="preserve"> </w:t>
      </w:r>
      <w:r>
        <w:rPr>
          <w:b/>
          <w:bCs/>
          <w:color w:val="1E386B"/>
          <w:spacing w:val="-6"/>
          <w:sz w:val="28"/>
          <w:szCs w:val="28"/>
        </w:rPr>
        <w:t>发展晋升</w:t>
      </w:r>
    </w:p>
    <w:p w14:paraId="429B09F3">
      <w:pPr>
        <w:pStyle w:val="2"/>
        <w:spacing w:before="170" w:line="229" w:lineRule="auto"/>
        <w:ind w:left="478" w:right="855"/>
      </w:pPr>
      <w:r>
        <w:t>我司为新能源动力电池生产技术岗位人才搭建双轨制职业发展</w:t>
      </w:r>
      <w:r>
        <w:rPr>
          <w:spacing w:val="-1"/>
        </w:rPr>
        <w:t>通道，兼顾技能深耕与管理与</w:t>
      </w:r>
      <w:r>
        <w:rPr>
          <w:spacing w:val="-2"/>
        </w:rPr>
        <w:t>专业进阶，配合阶梯式培养体系，助力员工从新手成长为行业精英。</w:t>
      </w:r>
    </w:p>
    <w:p w14:paraId="00CBE5CA">
      <w:pPr>
        <w:spacing w:line="4060" w:lineRule="exact"/>
        <w:ind w:firstLine="1332"/>
      </w:pPr>
      <w:r>
        <w:rPr>
          <w:position w:val="-81"/>
        </w:rPr>
        <w:drawing>
          <wp:inline distT="0" distB="0" distL="0" distR="0">
            <wp:extent cx="4900295" cy="25781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0929" cy="257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F0350">
      <w:pPr>
        <w:pStyle w:val="2"/>
        <w:spacing w:before="246" w:line="221" w:lineRule="auto"/>
        <w:ind w:left="285"/>
        <w:rPr>
          <w:sz w:val="28"/>
          <w:szCs w:val="28"/>
        </w:rPr>
      </w:pPr>
      <w:r>
        <w:rPr>
          <w:color w:val="1E386B"/>
          <w:position w:val="-6"/>
          <w:sz w:val="28"/>
          <w:szCs w:val="28"/>
        </w:rPr>
        <w:drawing>
          <wp:inline distT="0" distB="0" distL="0" distR="0">
            <wp:extent cx="68580" cy="23812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707" cy="23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386B"/>
          <w:spacing w:val="67"/>
          <w:sz w:val="28"/>
          <w:szCs w:val="28"/>
        </w:rPr>
        <w:t xml:space="preserve"> </w:t>
      </w:r>
      <w:r>
        <w:rPr>
          <w:b/>
          <w:bCs/>
          <w:color w:val="1E386B"/>
          <w:spacing w:val="-6"/>
          <w:sz w:val="28"/>
          <w:szCs w:val="28"/>
        </w:rPr>
        <w:t>薪酬福利</w:t>
      </w:r>
    </w:p>
    <w:p w14:paraId="1F82F278">
      <w:pPr>
        <w:pStyle w:val="2"/>
        <w:spacing w:before="163" w:line="191" w:lineRule="auto"/>
        <w:ind w:left="559"/>
        <w:rPr>
          <w:rFonts w:hint="default" w:eastAsia="PingFang SC"/>
          <w:lang w:val="en-US" w:eastAsia="zh-CN"/>
        </w:rPr>
      </w:pPr>
      <w:r>
        <w:rPr>
          <w:spacing w:val="-7"/>
        </w:rPr>
        <w:t>·薪资：</w:t>
      </w:r>
      <w:r>
        <w:rPr>
          <w:rFonts w:hint="eastAsia"/>
          <w:spacing w:val="-7"/>
          <w:lang w:val="en-US" w:eastAsia="zh-CN"/>
        </w:rPr>
        <w:t>综合月薪实习第一阶段5000-7000；第二阶段5500-8000</w:t>
      </w:r>
    </w:p>
    <w:p w14:paraId="48F0C727">
      <w:pPr>
        <w:pStyle w:val="2"/>
        <w:spacing w:before="121" w:line="183" w:lineRule="auto"/>
        <w:ind w:left="559"/>
      </w:pPr>
      <w:r>
        <w:rPr>
          <w:spacing w:val="-3"/>
        </w:rPr>
        <w:t>·伙食：公司配备员工餐厅，供应早、中、晚餐，餐补 400 元/月</w:t>
      </w:r>
    </w:p>
    <w:p w14:paraId="0D9F9E9B">
      <w:pPr>
        <w:pStyle w:val="2"/>
        <w:spacing w:before="136" w:line="183" w:lineRule="auto"/>
        <w:ind w:left="559"/>
        <w:rPr>
          <w:rFonts w:hint="default" w:eastAsia="PingFang SC"/>
          <w:lang w:val="en-US" w:eastAsia="zh-CN"/>
        </w:rPr>
      </w:pPr>
      <w:r>
        <w:rPr>
          <w:spacing w:val="1"/>
        </w:rPr>
        <w:t>·住宿：提供员工宿舍</w:t>
      </w:r>
      <w:r>
        <w:rPr>
          <w:rFonts w:hint="eastAsia"/>
          <w:spacing w:val="1"/>
          <w:lang w:eastAsia="zh-CN"/>
        </w:rPr>
        <w:t>，</w:t>
      </w:r>
      <w:r>
        <w:rPr>
          <w:spacing w:val="1"/>
        </w:rPr>
        <w:t>双人间、四人间（上床</w:t>
      </w:r>
      <w:r>
        <w:t>下桌），</w:t>
      </w:r>
      <w:r>
        <w:rPr>
          <w:rFonts w:hint="eastAsia"/>
          <w:lang w:val="en-US" w:eastAsia="zh-CN"/>
        </w:rPr>
        <w:t>六人间、八人间</w:t>
      </w:r>
      <w:r>
        <w:t>设施齐全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住宿补贴200/月</w:t>
      </w:r>
    </w:p>
    <w:p w14:paraId="458DA6D0">
      <w:pPr>
        <w:pStyle w:val="2"/>
        <w:spacing w:before="135" w:line="183" w:lineRule="auto"/>
        <w:ind w:left="559"/>
      </w:pPr>
      <w:r>
        <w:rPr>
          <w:spacing w:val="1"/>
        </w:rPr>
        <w:t>·保障保险：实习期缴纳商业保险，毕业转正缴纳六险一金</w:t>
      </w:r>
    </w:p>
    <w:p w14:paraId="7BDB7C18">
      <w:pPr>
        <w:pStyle w:val="2"/>
        <w:spacing w:before="134" w:line="183" w:lineRule="auto"/>
        <w:ind w:left="559"/>
      </w:pPr>
      <w:r>
        <w:rPr>
          <w:spacing w:val="1"/>
        </w:rPr>
        <w:t>·其他福利：过年过节发放节日礼包，定期举办座谈会、生日</w:t>
      </w:r>
      <w:r>
        <w:t>会等活动</w:t>
      </w:r>
    </w:p>
    <w:p w14:paraId="0EB0278D">
      <w:pPr>
        <w:pStyle w:val="2"/>
        <w:spacing w:before="113" w:line="226" w:lineRule="auto"/>
        <w:ind w:left="281"/>
        <w:rPr>
          <w:sz w:val="28"/>
          <w:szCs w:val="28"/>
        </w:rPr>
      </w:pPr>
      <w:r>
        <w:rPr>
          <w:color w:val="1E386B"/>
          <w:position w:val="-5"/>
          <w:sz w:val="28"/>
          <w:szCs w:val="28"/>
        </w:rPr>
        <w:drawing>
          <wp:inline distT="0" distB="0" distL="0" distR="0">
            <wp:extent cx="68580" cy="23812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707" cy="23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386B"/>
          <w:spacing w:val="73"/>
          <w:sz w:val="28"/>
          <w:szCs w:val="28"/>
        </w:rPr>
        <w:t xml:space="preserve"> </w:t>
      </w:r>
      <w:r>
        <w:rPr>
          <w:b/>
          <w:bCs/>
          <w:color w:val="1E386B"/>
          <w:spacing w:val="-7"/>
          <w:sz w:val="28"/>
          <w:szCs w:val="28"/>
        </w:rPr>
        <w:t>公司环境</w:t>
      </w:r>
    </w:p>
    <w:p w14:paraId="43F0750E">
      <w:pPr>
        <w:spacing w:before="69" w:line="2018" w:lineRule="exact"/>
        <w:ind w:firstLine="2955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55880</wp:posOffset>
            </wp:positionV>
            <wp:extent cx="1601470" cy="128143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28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3602355</wp:posOffset>
            </wp:positionH>
            <wp:positionV relativeFrom="paragraph">
              <wp:posOffset>54610</wp:posOffset>
            </wp:positionV>
            <wp:extent cx="1602105" cy="1280795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02104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46355</wp:posOffset>
            </wp:positionV>
            <wp:extent cx="1602105" cy="125730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02104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0"/>
        </w:rPr>
        <w:drawing>
          <wp:inline distT="0" distB="0" distL="0" distR="0">
            <wp:extent cx="1601470" cy="128143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2104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96B96">
      <w:pPr>
        <w:spacing w:line="241" w:lineRule="auto"/>
        <w:rPr>
          <w:rFonts w:ascii="Arial"/>
          <w:sz w:val="21"/>
        </w:rPr>
      </w:pPr>
    </w:p>
    <w:p w14:paraId="15110B0B">
      <w:pPr>
        <w:spacing w:line="241" w:lineRule="auto"/>
        <w:rPr>
          <w:rFonts w:ascii="Arial"/>
          <w:sz w:val="21"/>
        </w:rPr>
      </w:pPr>
    </w:p>
    <w:p w14:paraId="105E7405">
      <w:pPr>
        <w:pStyle w:val="2"/>
        <w:spacing w:before="128" w:line="198" w:lineRule="auto"/>
        <w:ind w:left="221"/>
        <w:rPr>
          <w:sz w:val="28"/>
          <w:szCs w:val="28"/>
        </w:rPr>
      </w:pPr>
      <w:r>
        <w:rPr>
          <w:rFonts w:hint="eastAsia" w:eastAsia="PingFang SC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4726305</wp:posOffset>
            </wp:positionH>
            <wp:positionV relativeFrom="paragraph">
              <wp:posOffset>123825</wp:posOffset>
            </wp:positionV>
            <wp:extent cx="1371600" cy="1333500"/>
            <wp:effectExtent l="0" t="0" r="0" b="0"/>
            <wp:wrapSquare wrapText="bothSides"/>
            <wp:docPr id="1" name="图片 1" descr="8c06221f49f32d5ee5ef1629487955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06221f49f32d5ee5ef1629487955cc"/>
                    <pic:cNvPicPr>
                      <a:picLocks noChangeAspect="1"/>
                    </pic:cNvPicPr>
                  </pic:nvPicPr>
                  <pic:blipFill>
                    <a:blip r:embed="rId23"/>
                    <a:srcRect l="9969" t="7255" r="6890" b="857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386B"/>
          <w:position w:val="-11"/>
          <w:sz w:val="28"/>
          <w:szCs w:val="28"/>
        </w:rPr>
        <w:drawing>
          <wp:inline distT="0" distB="0" distL="0" distR="0">
            <wp:extent cx="68580" cy="238125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707" cy="23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E386B"/>
          <w:spacing w:val="81"/>
          <w:sz w:val="28"/>
          <w:szCs w:val="28"/>
        </w:rPr>
        <w:t xml:space="preserve"> </w:t>
      </w:r>
      <w:r>
        <w:rPr>
          <w:b/>
          <w:bCs/>
          <w:color w:val="1E386B"/>
          <w:spacing w:val="-5"/>
          <w:sz w:val="28"/>
          <w:szCs w:val="28"/>
        </w:rPr>
        <w:t>加入我们</w:t>
      </w:r>
    </w:p>
    <w:p w14:paraId="4A968238">
      <w:pPr>
        <w:pStyle w:val="2"/>
        <w:spacing w:before="166" w:line="191" w:lineRule="auto"/>
        <w:ind w:left="478"/>
        <w:rPr>
          <w:rFonts w:hint="default"/>
          <w:lang w:val="en-US"/>
        </w:rPr>
      </w:pPr>
      <w:r>
        <w:rPr>
          <w:spacing w:val="-2"/>
        </w:rPr>
        <w:t>联系人：</w:t>
      </w:r>
      <w:r>
        <w:rPr>
          <w:rFonts w:hint="eastAsia"/>
          <w:spacing w:val="-2"/>
          <w:lang w:val="en-US" w:eastAsia="zh-CN"/>
        </w:rPr>
        <w:t>方女士</w:t>
      </w:r>
    </w:p>
    <w:p w14:paraId="636F85CA">
      <w:pPr>
        <w:pStyle w:val="2"/>
        <w:spacing w:before="121" w:line="190" w:lineRule="auto"/>
        <w:ind w:left="478"/>
        <w:rPr>
          <w:rFonts w:hint="eastAsia" w:eastAsia="PingFang SC"/>
          <w:lang w:eastAsia="zh-CN"/>
        </w:rPr>
      </w:pPr>
      <w:r>
        <w:rPr>
          <w:spacing w:val="-13"/>
        </w:rPr>
        <w:t>联系方式：</w:t>
      </w:r>
      <w:r>
        <w:rPr>
          <w:rFonts w:hint="eastAsia"/>
          <w:spacing w:val="-13"/>
          <w:lang w:val="en-US" w:eastAsia="zh-CN"/>
        </w:rPr>
        <w:t>19159068704</w:t>
      </w:r>
      <w:r>
        <w:rPr>
          <w:spacing w:val="-30"/>
        </w:rPr>
        <w:t xml:space="preserve"> </w:t>
      </w:r>
      <w:r>
        <w:rPr>
          <w:spacing w:val="-13"/>
        </w:rPr>
        <w:t>（微信同号）</w:t>
      </w:r>
    </w:p>
    <w:p w14:paraId="1B213F30">
      <w:pPr>
        <w:pStyle w:val="2"/>
        <w:spacing w:before="121" w:line="191" w:lineRule="auto"/>
        <w:ind w:left="480"/>
        <w:rPr>
          <w:rFonts w:hint="eastAsia"/>
          <w:spacing w:val="-4"/>
          <w:lang w:val="en-US" w:eastAsia="zh-CN"/>
        </w:rPr>
      </w:pPr>
      <w:r>
        <w:rPr>
          <w:spacing w:val="-4"/>
        </w:rPr>
        <w:t>工作地点：</w:t>
      </w:r>
      <w:r>
        <w:rPr>
          <w:rFonts w:hint="eastAsia"/>
          <w:spacing w:val="-4"/>
          <w:lang w:val="en-US" w:eastAsia="zh-CN"/>
        </w:rPr>
        <w:t>安徽宁国、山东枣庄、山东淄博、浙江杭州等多基地</w:t>
      </w:r>
    </w:p>
    <w:p w14:paraId="3225F02C">
      <w:pPr>
        <w:pStyle w:val="2"/>
        <w:spacing w:before="121" w:line="191" w:lineRule="auto"/>
        <w:ind w:left="480"/>
        <w:rPr>
          <w:rFonts w:hint="eastAsia"/>
          <w:spacing w:val="-4"/>
          <w:lang w:val="en-US" w:eastAsia="zh-CN"/>
        </w:rPr>
      </w:pPr>
    </w:p>
    <w:p w14:paraId="3FE3C820">
      <w:pPr>
        <w:pStyle w:val="2"/>
        <w:spacing w:before="121" w:line="191" w:lineRule="auto"/>
        <w:ind w:left="480"/>
        <w:rPr>
          <w:rFonts w:hint="default"/>
          <w:spacing w:val="-4"/>
          <w:lang w:val="en-US" w:eastAsia="zh-CN"/>
        </w:rPr>
      </w:pPr>
      <w:r>
        <w:rPr>
          <w:rFonts w:hint="default"/>
          <w:spacing w:val="-4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191135</wp:posOffset>
            </wp:positionV>
            <wp:extent cx="6926580" cy="7632065"/>
            <wp:effectExtent l="0" t="0" r="7620" b="13335"/>
            <wp:wrapSquare wrapText="bothSides"/>
            <wp:docPr id="3" name="图片 3" descr="b4aa852f75a309d420a742e2c61eba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4aa852f75a309d420a742e2c61ebac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763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9" w:type="default"/>
      <w:footerReference r:id="rId10" w:type="default"/>
      <w:pgSz w:w="11907" w:h="16839"/>
      <w:pgMar w:top="1168" w:right="371" w:bottom="1360" w:left="612" w:header="405" w:footer="9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 SC">
    <w:altName w:val="冬青黑体简体中文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D689F">
    <w:pPr>
      <w:pStyle w:val="2"/>
      <w:spacing w:before="140" w:line="190" w:lineRule="auto"/>
      <w:ind w:left="478"/>
      <w:rPr>
        <w:sz w:val="19"/>
        <w:szCs w:val="19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816610</wp:posOffset>
          </wp:positionH>
          <wp:positionV relativeFrom="page">
            <wp:posOffset>9828530</wp:posOffset>
          </wp:positionV>
          <wp:extent cx="6055360" cy="889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5530" cy="8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-1"/>
        <w:sz w:val="19"/>
        <w:szCs w:val="19"/>
      </w:rPr>
      <w:t>快</w:t>
    </w:r>
    <w:r>
      <w:rPr>
        <w:spacing w:val="-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乐</w:t>
    </w:r>
    <w:r>
      <w:rPr>
        <w:spacing w:val="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人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生</w:t>
    </w:r>
    <w:r>
      <w:rPr>
        <w:spacing w:val="1"/>
        <w:sz w:val="19"/>
        <w:szCs w:val="19"/>
      </w:rPr>
      <w:t xml:space="preserve">                       </w:t>
    </w:r>
    <w:r>
      <w:rPr>
        <w:sz w:val="19"/>
        <w:szCs w:val="19"/>
      </w:rPr>
      <w:t xml:space="preserve">                      </w:t>
    </w:r>
    <w:r>
      <w:rPr>
        <w:b/>
        <w:bCs/>
        <w:spacing w:val="-1"/>
        <w:sz w:val="19"/>
        <w:szCs w:val="19"/>
      </w:rPr>
      <w:t>吉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利</w:t>
    </w:r>
    <w:r>
      <w:rPr>
        <w:spacing w:val="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相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伴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40F40">
    <w:pPr>
      <w:pStyle w:val="2"/>
      <w:spacing w:before="140" w:line="190" w:lineRule="auto"/>
      <w:ind w:left="543"/>
      <w:rPr>
        <w:sz w:val="19"/>
        <w:szCs w:val="19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816610</wp:posOffset>
          </wp:positionH>
          <wp:positionV relativeFrom="page">
            <wp:posOffset>9828530</wp:posOffset>
          </wp:positionV>
          <wp:extent cx="6055360" cy="889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5530" cy="8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-1"/>
        <w:sz w:val="19"/>
        <w:szCs w:val="19"/>
      </w:rPr>
      <w:t>快</w:t>
    </w:r>
    <w:r>
      <w:rPr>
        <w:spacing w:val="-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乐</w:t>
    </w:r>
    <w:r>
      <w:rPr>
        <w:spacing w:val="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人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生</w:t>
    </w:r>
    <w:r>
      <w:rPr>
        <w:spacing w:val="1"/>
        <w:sz w:val="19"/>
        <w:szCs w:val="19"/>
      </w:rPr>
      <w:t xml:space="preserve">                       </w:t>
    </w:r>
    <w:r>
      <w:rPr>
        <w:sz w:val="19"/>
        <w:szCs w:val="19"/>
      </w:rPr>
      <w:t xml:space="preserve">                      </w:t>
    </w:r>
    <w:r>
      <w:rPr>
        <w:b/>
        <w:bCs/>
        <w:spacing w:val="-1"/>
        <w:sz w:val="19"/>
        <w:szCs w:val="19"/>
      </w:rPr>
      <w:t>吉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利</w:t>
    </w:r>
    <w:r>
      <w:rPr>
        <w:spacing w:val="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相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伴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35C76">
    <w:pPr>
      <w:pStyle w:val="2"/>
      <w:spacing w:before="140" w:line="190" w:lineRule="auto"/>
      <w:ind w:left="478"/>
      <w:rPr>
        <w:sz w:val="19"/>
        <w:szCs w:val="19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816610</wp:posOffset>
          </wp:positionH>
          <wp:positionV relativeFrom="page">
            <wp:posOffset>9828530</wp:posOffset>
          </wp:positionV>
          <wp:extent cx="6055360" cy="8890"/>
          <wp:effectExtent l="0" t="0" r="0" b="0"/>
          <wp:wrapNone/>
          <wp:docPr id="20" name="I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5531" cy="8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pacing w:val="-1"/>
        <w:sz w:val="19"/>
        <w:szCs w:val="19"/>
      </w:rPr>
      <w:t>快</w:t>
    </w:r>
    <w:r>
      <w:rPr>
        <w:spacing w:val="-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乐</w:t>
    </w:r>
    <w:r>
      <w:rPr>
        <w:spacing w:val="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人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生</w:t>
    </w:r>
    <w:r>
      <w:rPr>
        <w:spacing w:val="1"/>
        <w:sz w:val="19"/>
        <w:szCs w:val="19"/>
      </w:rPr>
      <w:t xml:space="preserve">                       </w:t>
    </w:r>
    <w:r>
      <w:rPr>
        <w:sz w:val="19"/>
        <w:szCs w:val="19"/>
      </w:rPr>
      <w:t xml:space="preserve">                      </w:t>
    </w:r>
    <w:r>
      <w:rPr>
        <w:b/>
        <w:bCs/>
        <w:spacing w:val="-1"/>
        <w:sz w:val="19"/>
        <w:szCs w:val="19"/>
      </w:rPr>
      <w:t>吉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利</w:t>
    </w:r>
    <w:r>
      <w:rPr>
        <w:spacing w:val="1"/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相</w:t>
    </w:r>
    <w:r>
      <w:rPr>
        <w:sz w:val="19"/>
        <w:szCs w:val="19"/>
      </w:rPr>
      <w:t xml:space="preserve">              </w:t>
    </w:r>
    <w:r>
      <w:rPr>
        <w:b/>
        <w:bCs/>
        <w:spacing w:val="-1"/>
        <w:sz w:val="19"/>
        <w:szCs w:val="19"/>
      </w:rPr>
      <w:t>伴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4B403">
    <w:pPr>
      <w:spacing w:line="644" w:lineRule="exact"/>
    </w:pPr>
    <w:r>
      <w:rPr>
        <w:position w:val="-12"/>
      </w:rPr>
      <w:drawing>
        <wp:inline distT="0" distB="0" distL="0" distR="0">
          <wp:extent cx="1987550" cy="40894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7550" cy="4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8471BE">
    <w:pPr>
      <w:spacing w:before="61" w:line="47" w:lineRule="exact"/>
      <w:ind w:firstLine="359"/>
    </w:pPr>
    <w:r>
      <w:rPr>
        <w:position w:val="-1"/>
      </w:rPr>
      <w:pict>
        <v:shape id="_x0000_s2049" o:spid="_x0000_s2049" style="height:2.9pt;width:498.25pt;" fillcolor="#000000" filled="t" stroked="f" coordsize="9965,58" path="m0,57l9964,57,9964,38,0,38,0,57xem0,19l9964,19,9964,0,0,0,0,19xe"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8EAAF">
    <w:pPr>
      <w:spacing w:line="644" w:lineRule="exact"/>
      <w:ind w:firstLine="65"/>
    </w:pPr>
    <w:r>
      <w:rPr>
        <w:position w:val="-12"/>
      </w:rPr>
      <w:drawing>
        <wp:inline distT="0" distB="0" distL="0" distR="0">
          <wp:extent cx="1987550" cy="408940"/>
          <wp:effectExtent l="0" t="0" r="0" b="0"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7550" cy="4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70C7DF">
    <w:pPr>
      <w:spacing w:before="61" w:line="47" w:lineRule="exact"/>
      <w:ind w:firstLine="425"/>
    </w:pPr>
    <w:r>
      <w:rPr>
        <w:position w:val="-1"/>
      </w:rPr>
      <w:pict>
        <v:shape id="_x0000_s2050" o:spid="_x0000_s2050" style="height:2.9pt;width:498.25pt;" fillcolor="#000000" filled="t" stroked="f" coordsize="9965,58" path="m0,57l9964,57,9964,38,0,38,0,57xem0,19l9964,19,9964,0,0,0,0,19xe"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70FC2">
    <w:pPr>
      <w:spacing w:line="644" w:lineRule="exact"/>
    </w:pPr>
    <w:r>
      <w:rPr>
        <w:position w:val="-12"/>
      </w:rPr>
      <w:drawing>
        <wp:inline distT="0" distB="0" distL="0" distR="0">
          <wp:extent cx="1987550" cy="408940"/>
          <wp:effectExtent l="0" t="0" r="0" b="0"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7550" cy="4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C703E">
    <w:pPr>
      <w:spacing w:before="61" w:line="47" w:lineRule="exact"/>
      <w:ind w:firstLine="359"/>
    </w:pPr>
    <w:r>
      <w:rPr>
        <w:position w:val="-1"/>
      </w:rPr>
      <w:pict>
        <v:shape id="_x0000_s2051" o:spid="_x0000_s2051" style="height:2.9pt;width:498.25pt;" fillcolor="#000000" filled="t" stroked="f" coordsize="9965,58" path="m0,57l9964,57,9964,38,0,38,0,57xem0,19l9964,19,9964,0,0,0,0,19xe"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DFAEE8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PingFang SC" w:hAnsi="PingFang SC" w:eastAsia="PingFang SC" w:cs="PingFang SC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5.jpeg"/><Relationship Id="rId23" Type="http://schemas.openxmlformats.org/officeDocument/2006/relationships/image" Target="media/image14.jpeg"/><Relationship Id="rId22" Type="http://schemas.openxmlformats.org/officeDocument/2006/relationships/image" Target="media/image13.jpeg"/><Relationship Id="rId21" Type="http://schemas.openxmlformats.org/officeDocument/2006/relationships/image" Target="media/image12.jpe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jpe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10</TotalTime>
  <ScaleCrop>false</ScaleCrop>
  <LinksUpToDate>false</LinksUpToDate>
  <Application>WPS Office_12.1.26055.26055_F1E327BC-269C-435d-A152-05C5408002CA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2026-04-17T22:57:00Z</dcterms:created>
  <dc:creator>Data</dc:creator>
  <cp:lastModifiedBy>a蒋鑫鑫鑫鑫鑫鑫จุ๊บ</cp:lastModifiedBy>
  <dcterms:modified xsi:type="dcterms:W3CDTF">2026-09-01T15:15:51Z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2026-09-01T14:54:31Z</vt:filetime>
  </property>
  <property fmtid="{D5CDD505-2E9C-101B-9397-08002B2CF9AE}" pid="4" name="KSOProductBuildVer">
    <vt:lpwstr>2052-12.1.26055.26055</vt:lpwstr>
  </property>
  <property fmtid="{D5CDD505-2E9C-101B-9397-08002B2CF9AE}" pid="5" name="ICV">
    <vt:lpwstr>DE0972630ACB13F6A77B966A0FAF9C57_42</vt:lpwstr>
  </property>
</Properties>
</file>