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diagrams/drawing1.xml" ContentType="application/vnd.ms-office.drawingml.diagramDrawing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95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华夏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飞机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Hans"/>
        </w:rPr>
        <w:t>维修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工程有限公司</w:t>
      </w:r>
    </w:p>
    <w:p w14:paraId="04C2CE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7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校园招聘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简章</w:t>
      </w:r>
    </w:p>
    <w:p w14:paraId="6AF28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  <w:t>华夏飞机维修工程有限公司(简称“华夏维修”)是华夏航空股份有限公司(股票代码:002928)的全资子公司，成立干2019年9月，总部位干重庆，是一家集航空器维修，机队技术管理、改装设计、航空维修培训、航空器喷涂、航材租赁销售等为一体，具有综合性航空维修服务功能的维修公司。公司拥有中国民用航空局(CAAC)、美国联邦航空管理局(FAA)等机构颁发的维修许可证，在重庆主维修基地现有维修机库2个、部附件厂房1个，同时设有包头、阿克苏、喀什、库尔勒、贵阳、成都、衢州等多个维修基地。</w:t>
      </w:r>
    </w:p>
    <w:p w14:paraId="71261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</w:pPr>
      <w:r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  <w:t>华夏维修目前建立起完整的维修工程管理运营体系，依托安全、诚信、合作、高效、科学的管理理念和高质量的维修工作输出，与国内外多家航空公司、设施设备厂商、维修培训机构开展长期业务合作，成为相互信赖的合作伙伴。</w:t>
      </w:r>
    </w:p>
    <w:p w14:paraId="4FF6E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</w:pP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42545</wp:posOffset>
            </wp:positionV>
            <wp:extent cx="4307840" cy="2424430"/>
            <wp:effectExtent l="0" t="0" r="10160" b="13970"/>
            <wp:wrapSquare wrapText="bothSides"/>
            <wp:docPr id="1" name="图片 2" descr="WechatIMG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WechatIMG4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7840" cy="242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E27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</w:pPr>
    </w:p>
    <w:p w14:paraId="7699B4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</w:pPr>
    </w:p>
    <w:p w14:paraId="695AF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</w:pPr>
    </w:p>
    <w:p w14:paraId="539AA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</w:pPr>
    </w:p>
    <w:p w14:paraId="2F5E47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招聘岗位</w:t>
      </w: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及工作地</w:t>
      </w:r>
    </w:p>
    <w:p w14:paraId="55076402">
      <w:pPr>
        <w:pStyle w:val="5"/>
        <w:numPr>
          <w:ilvl w:val="0"/>
          <w:numId w:val="2"/>
        </w:numPr>
        <w:spacing w:line="360" w:lineRule="auto"/>
        <w:ind w:leftChars="0" w:firstLine="320" w:firstLineChars="100"/>
        <w:jc w:val="left"/>
        <w:outlineLvl w:val="9"/>
        <w:rPr>
          <w:rFonts w:hint="default" w:ascii="方正楷体_GBK" w:hAnsi="Times New Roman" w:eastAsia="方正楷体_GBK" w:cs="Times New Roman"/>
          <w:color w:val="000000"/>
          <w:kern w:val="2"/>
          <w:sz w:val="32"/>
          <w:szCs w:val="32"/>
          <w:lang w:val="en-US" w:eastAsia="zh-Hans" w:bidi="ar-SA"/>
        </w:rPr>
      </w:pPr>
      <w:r>
        <w:rPr>
          <w:rFonts w:hint="eastAsia" w:ascii="方正楷体_GBK" w:hAnsi="Times New Roman" w:eastAsia="方正楷体_GBK" w:cs="Times New Roman"/>
          <w:color w:val="000000"/>
          <w:kern w:val="2"/>
          <w:sz w:val="32"/>
          <w:szCs w:val="32"/>
          <w:lang w:val="en-US" w:eastAsia="zh-CN" w:bidi="ar-SA"/>
        </w:rPr>
        <w:t>维修学员</w:t>
      </w:r>
    </w:p>
    <w:p w14:paraId="53EDD6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Hans"/>
        </w:rPr>
      </w:pPr>
      <w:r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eastAsia="zh-Hans"/>
        </w:rPr>
        <w:t>1.</w:t>
      </w: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学历：2027届大专及以上学历应届毕业生</w:t>
      </w:r>
      <w:r>
        <w:rPr>
          <w:rFonts w:hint="default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Hans"/>
        </w:rPr>
        <w:t xml:space="preserve">。 </w:t>
      </w:r>
    </w:p>
    <w:p w14:paraId="38F28A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Times New Roman" w:hAnsi="Times New Roman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Hans"/>
        </w:rPr>
        <w:t>2.</w:t>
      </w: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专业</w:t>
      </w:r>
      <w:r>
        <w:rPr>
          <w:rFonts w:hint="eastAsia" w:ascii="Times New Roman" w:hAnsi="Times New Roman" w:eastAsia="方正仿宋_GBK" w:cs="方正仿宋_GBK"/>
          <w:sz w:val="28"/>
          <w:szCs w:val="28"/>
          <w:highlight w:val="none"/>
          <w:lang w:val="en-US" w:eastAsia="zh-CN"/>
        </w:rPr>
        <w:t>：</w:t>
      </w: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民航机务维修或理工类相关专业，在校期间挂科不超3门且在参与应聘前补考通过</w:t>
      </w:r>
      <w:r>
        <w:rPr>
          <w:rFonts w:hint="eastAsia" w:ascii="Times New Roman" w:hAnsi="Times New Roman" w:eastAsia="方正仿宋_GBK" w:cs="方正仿宋_GBK"/>
          <w:sz w:val="28"/>
          <w:szCs w:val="28"/>
          <w:highlight w:val="none"/>
          <w:lang w:val="en-US" w:eastAsia="zh-CN"/>
        </w:rPr>
        <w:t>。</w:t>
      </w:r>
    </w:p>
    <w:p w14:paraId="174496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Times New Roman" w:hAnsi="Times New Roman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eastAsia="zh-Hans"/>
        </w:rPr>
        <w:t>3.</w:t>
      </w: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英语要求</w:t>
      </w:r>
      <w:r>
        <w:rPr>
          <w:rFonts w:hint="eastAsia" w:ascii="Times New Roman" w:hAnsi="Times New Roman" w:eastAsia="方正仿宋_GBK" w:cs="方正仿宋_GBK"/>
          <w:sz w:val="28"/>
          <w:szCs w:val="28"/>
          <w:highlight w:val="none"/>
          <w:lang w:val="en-US" w:eastAsia="zh-CN"/>
        </w:rPr>
        <w:t>：</w:t>
      </w:r>
    </w:p>
    <w:p w14:paraId="5EE5FE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本科学历:大学英语四级考试分数在425分(含)以上、雅思5.0分(含)以上、托福60分(含)以上。</w:t>
      </w:r>
    </w:p>
    <w:p w14:paraId="052A54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大专学历:需取得英语A级证书。</w:t>
      </w:r>
    </w:p>
    <w:p w14:paraId="76930F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Hans"/>
        </w:rPr>
      </w:pPr>
      <w:r>
        <w:rPr>
          <w:rFonts w:hint="default" w:ascii="Times New Roman" w:hAnsi="Times New Roman" w:eastAsia="方正仿宋_GBK" w:cs="方正仿宋_GBK"/>
          <w:sz w:val="28"/>
          <w:szCs w:val="28"/>
          <w:highlight w:val="none"/>
          <w:lang w:val="en-US" w:eastAsia="zh-Hans"/>
        </w:rPr>
        <w:t>4.</w:t>
      </w: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持有民航维修人员执照优先</w:t>
      </w:r>
      <w:r>
        <w:rPr>
          <w:rFonts w:hint="default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Hans"/>
        </w:rPr>
        <w:t>。</w:t>
      </w:r>
    </w:p>
    <w:p w14:paraId="13AFCE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textAlignment w:val="auto"/>
        <w:rPr>
          <w:rFonts w:hint="default" w:ascii="Times New Roman" w:hAnsi="Times New Roman" w:eastAsia="方正仿宋_GBK" w:cs="方正仿宋_GBK"/>
          <w:sz w:val="28"/>
          <w:szCs w:val="28"/>
          <w:highlight w:val="none"/>
          <w:lang w:val="en-US" w:eastAsia="zh-Hans"/>
        </w:rPr>
      </w:pP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5.无重大疾病、色弱色盲，遵纪守法，无违反校规校纪行为</w:t>
      </w:r>
      <w:r>
        <w:rPr>
          <w:rFonts w:hint="default" w:ascii="Times New Roman" w:hAnsi="Times New Roman" w:eastAsia="方正仿宋_GBK" w:cs="方正仿宋_GBK"/>
          <w:sz w:val="28"/>
          <w:szCs w:val="28"/>
          <w:highlight w:val="none"/>
          <w:lang w:val="en-US" w:eastAsia="zh-Hans"/>
        </w:rPr>
        <w:t>。</w:t>
      </w:r>
    </w:p>
    <w:p w14:paraId="0488D6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Times New Roman" w:hAnsi="Times New Roman" w:eastAsia="方正仿宋_GBK" w:cs="方正仿宋_GBK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28"/>
          <w:szCs w:val="28"/>
          <w:highlight w:val="none"/>
          <w:lang w:val="en-US" w:eastAsia="zh-CN"/>
        </w:rPr>
        <w:t>6.</w:t>
      </w:r>
      <w:r>
        <w:rPr>
          <w:rFonts w:hint="eastAsia" w:ascii="Times New Roman" w:hAnsi="Times New Roman" w:eastAsia="方正仿宋_GBK" w:cs="方正仿宋_GBK"/>
          <w:color w:val="auto"/>
          <w:sz w:val="30"/>
          <w:szCs w:val="30"/>
          <w:highlight w:val="none"/>
          <w:lang w:val="en-US" w:eastAsia="zh-CN"/>
        </w:rPr>
        <w:t>符合民航从业人员背景调查有关要求且入职体检、毒检合格，适应白夜倒班。</w:t>
      </w:r>
      <w:bookmarkStart w:id="0" w:name="_GoBack"/>
      <w:bookmarkEnd w:id="0"/>
    </w:p>
    <w:p w14:paraId="094528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方正仿宋_GBK" w:cs="方正仿宋_GBK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auto"/>
          <w:sz w:val="28"/>
          <w:szCs w:val="28"/>
          <w:highlight w:val="none"/>
          <w:lang w:val="en-US" w:eastAsia="zh-CN"/>
        </w:rPr>
        <w:t>工作地点：重庆、成都、贵阳、衢州、库尔勒、阿克苏、喀什、包头</w:t>
      </w:r>
    </w:p>
    <w:p w14:paraId="542D8B0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人才培养与发展</w:t>
      </w:r>
    </w:p>
    <w:p w14:paraId="312D04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系统培训：入职培训+机型培训+OJT在岗实训+执照培训</w:t>
      </w:r>
    </w:p>
    <w:p w14:paraId="798E66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职业通道：技术与管理通道横纵向发展</w:t>
      </w:r>
    </w:p>
    <w:p w14:paraId="739F9D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学习平台：内部培训+师傅带教+轮岗锻炼+外部培训</w:t>
      </w:r>
    </w:p>
    <w:p w14:paraId="6633AB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r>
        <w:rPr>
          <w:rFonts w:hint="default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福利</w:t>
      </w: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待遇</w:t>
      </w:r>
    </w:p>
    <w:p w14:paraId="3D2038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驻疆补贴、现金福利、五</w:t>
      </w:r>
      <w:r>
        <w:rPr>
          <w:rFonts w:hint="default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险一金</w:t>
      </w: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、互助医疗、</w:t>
      </w:r>
      <w:r>
        <w:rPr>
          <w:rFonts w:hint="default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带薪年假</w:t>
      </w: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、司龄假、工会福利、用餐补贴、通讯补贴、应届生住房</w:t>
      </w:r>
      <w:r>
        <w:rPr>
          <w:rFonts w:hint="default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补贴</w:t>
      </w: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、</w:t>
      </w:r>
      <w:r>
        <w:rPr>
          <w:rFonts w:hint="default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健康体检</w:t>
      </w:r>
      <w:r>
        <w:rPr>
          <w:rFonts w:hint="eastAsia" w:ascii="方正仿宋_GBK" w:hAnsi="方正仿宋_GBK" w:eastAsia="方正仿宋_GBK" w:cs="方正仿宋_GBK"/>
          <w:b w:val="0"/>
          <w:bCs w:val="0"/>
          <w:sz w:val="30"/>
          <w:szCs w:val="30"/>
          <w:lang w:val="en-US" w:eastAsia="zh-CN"/>
        </w:rPr>
        <w:t>、免费机票、高温补贴、冬季补贴。</w:t>
      </w:r>
    </w:p>
    <w:p w14:paraId="03405FF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招聘流程</w:t>
      </w:r>
    </w:p>
    <w:p w14:paraId="0ABAD71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简历投递方式</w:t>
      </w:r>
    </w:p>
    <w:p w14:paraId="59D61D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textAlignment w:val="auto"/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highlight w:val="none"/>
          <w:lang w:val="en-US" w:eastAsia="zh-CN"/>
        </w:rPr>
        <w:t>扫描下方二维码完成报名表填写，或关注“华夏航空招聘官方号”点击校园招聘完成在线投递。</w:t>
      </w:r>
    </w:p>
    <w:p w14:paraId="4EDE0B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560" w:firstLineChars="200"/>
        <w:jc w:val="center"/>
        <w:textAlignment w:val="auto"/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highlight w:val="none"/>
          <w:lang w:val="en-US" w:eastAsia="zh-CN"/>
        </w:rPr>
        <w:drawing>
          <wp:inline distT="0" distB="0" distL="114300" distR="114300">
            <wp:extent cx="1069975" cy="1053465"/>
            <wp:effectExtent l="0" t="0" r="6350" b="3810"/>
            <wp:docPr id="3" name="图片 3" descr="0e609fdd003313b8f452f48672e464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e609fdd003313b8f452f48672e464b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9975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BDF6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>招聘流程</w:t>
      </w:r>
    </w:p>
    <w:p w14:paraId="0AF186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eastAsia="宋体"/>
          <w:b/>
          <w:bCs/>
          <w:sz w:val="30"/>
          <w:szCs w:val="30"/>
          <w:lang w:val="en-US" w:eastAsia="zh-CN"/>
        </w:rPr>
      </w:pPr>
      <w:r>
        <w:rPr>
          <w:rFonts w:hint="eastAsia" w:eastAsia="宋体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106160" cy="455930"/>
            <wp:effectExtent l="6350" t="6350" r="12065" b="33020"/>
            <wp:docPr id="16" name="图示 1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14:paraId="46AB5E1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Han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0"/>
          <w:szCs w:val="30"/>
          <w:lang w:val="en-US" w:eastAsia="zh-CN"/>
        </w:rPr>
        <w:t xml:space="preserve">特别声明 </w:t>
      </w:r>
    </w:p>
    <w:p w14:paraId="5C9994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  <w:t>(一)所有招聘只接受应聘者个人报名，不接受任何培训机构或中介机构有组织报名。华夏维修从未委托任何第三方招聘，从未要求应聘者前往我司指定地址之外的任何地点参加面试或培训，更未要求应聘者缴纳任何形式的押金、保证金、推荐费、介绍费、招待费、活动费、中介费等费用。</w:t>
      </w:r>
    </w:p>
    <w:p w14:paraId="4F9C559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left"/>
        <w:textAlignment w:val="auto"/>
        <w:outlineLvl w:val="9"/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  <w:t>(二)凡假借华夏维修名义散布不实招聘信息的，本公司将保留追究当事人(单位)法律责任的权利。敬请广大应聘人员提高警惕，以免上当受骗，造成财产损失。如已遭遇诈骗，请尽快向公安机关报案以维护您的合法权益。</w:t>
      </w:r>
    </w:p>
    <w:p w14:paraId="0026EC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right"/>
        <w:textAlignment w:val="auto"/>
        <w:outlineLvl w:val="9"/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  <w:t>华夏飞机维修工程有限公司</w:t>
      </w:r>
    </w:p>
    <w:p w14:paraId="2906AA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560" w:firstLineChars="200"/>
        <w:jc w:val="right"/>
        <w:textAlignment w:val="auto"/>
        <w:outlineLvl w:val="9"/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b w:val="0"/>
          <w:bCs w:val="0"/>
          <w:sz w:val="28"/>
          <w:szCs w:val="28"/>
          <w:lang w:eastAsia="zh-Hans"/>
        </w:rPr>
        <w:t>202</w:t>
      </w: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  <w:t>6</w:t>
      </w: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  <w:t>年</w:t>
      </w: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CN"/>
        </w:rPr>
        <w:t>9</w:t>
      </w:r>
      <w:r>
        <w:rPr>
          <w:rFonts w:hint="eastAsia" w:ascii="Times New Roman Regular" w:hAnsi="Times New Roman Regular" w:eastAsia="方正仿宋_GBK" w:cs="Times New Roman Regular"/>
          <w:b w:val="0"/>
          <w:bCs w:val="0"/>
          <w:sz w:val="28"/>
          <w:szCs w:val="28"/>
          <w:lang w:val="en-US" w:eastAsia="zh-Hans"/>
        </w:rPr>
        <w:t>月</w:t>
      </w:r>
    </w:p>
    <w:sectPr>
      <w:headerReference r:id="rId3" w:type="default"/>
      <w:pgSz w:w="11906" w:h="16838"/>
      <w:pgMar w:top="986" w:right="1689" w:bottom="1157" w:left="1689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B4FB9">
    <w:pPr>
      <w:pStyle w:val="2"/>
      <w:pBdr>
        <w:bottom w:val="single" w:color="auto" w:sz="4" w:space="1"/>
      </w:pBdr>
    </w:pPr>
    <w:r>
      <w:drawing>
        <wp:inline distT="0" distB="0" distL="114300" distR="114300">
          <wp:extent cx="1774190" cy="533400"/>
          <wp:effectExtent l="0" t="0" r="3810" b="0"/>
          <wp:docPr id="2" name="图片 1" descr="1e295061-1959-43ff-87ab-a24e8bd5463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1e295061-1959-43ff-87ab-a24e8bd5463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419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B01FE"/>
    <w:multiLevelType w:val="singleLevel"/>
    <w:tmpl w:val="FAFB01F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426D299"/>
    <w:multiLevelType w:val="singleLevel"/>
    <w:tmpl w:val="6426D299"/>
    <w:lvl w:ilvl="0" w:tentative="0">
      <w:start w:val="1"/>
      <w:numFmt w:val="chineseCounting"/>
      <w:suff w:val="nothing"/>
      <w:lvlText w:val="（%1）"/>
      <w:lvlJc w:val="left"/>
    </w:lvl>
  </w:abstractNum>
  <w:abstractNum w:abstractNumId="2">
    <w:nsid w:val="7DFFEA78"/>
    <w:multiLevelType w:val="singleLevel"/>
    <w:tmpl w:val="7DFFEA7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134C7C"/>
    <w:rsid w:val="006140F3"/>
    <w:rsid w:val="00846033"/>
    <w:rsid w:val="00A3295D"/>
    <w:rsid w:val="01E4322D"/>
    <w:rsid w:val="02AD7AC3"/>
    <w:rsid w:val="043A35D9"/>
    <w:rsid w:val="04F03492"/>
    <w:rsid w:val="053F5EDC"/>
    <w:rsid w:val="05BE041F"/>
    <w:rsid w:val="066A7A79"/>
    <w:rsid w:val="069D39AB"/>
    <w:rsid w:val="06E23AB3"/>
    <w:rsid w:val="07574AD6"/>
    <w:rsid w:val="07C37441"/>
    <w:rsid w:val="086F75C9"/>
    <w:rsid w:val="08D538D0"/>
    <w:rsid w:val="0A3F0DC6"/>
    <w:rsid w:val="0AFB5144"/>
    <w:rsid w:val="0B6E5916"/>
    <w:rsid w:val="0C040028"/>
    <w:rsid w:val="0C8F023A"/>
    <w:rsid w:val="0CAC2B9A"/>
    <w:rsid w:val="0DBF68FD"/>
    <w:rsid w:val="0E2F3A82"/>
    <w:rsid w:val="0E8F2773"/>
    <w:rsid w:val="1090632E"/>
    <w:rsid w:val="10B63FE7"/>
    <w:rsid w:val="10B77D5F"/>
    <w:rsid w:val="12303925"/>
    <w:rsid w:val="12C30F58"/>
    <w:rsid w:val="133C6A1A"/>
    <w:rsid w:val="135D4BEE"/>
    <w:rsid w:val="13946135"/>
    <w:rsid w:val="141352AC"/>
    <w:rsid w:val="14214E0F"/>
    <w:rsid w:val="14587163"/>
    <w:rsid w:val="16092E0B"/>
    <w:rsid w:val="165A18B8"/>
    <w:rsid w:val="16A02BC4"/>
    <w:rsid w:val="16A668AC"/>
    <w:rsid w:val="17005FBC"/>
    <w:rsid w:val="17710C68"/>
    <w:rsid w:val="17B4766F"/>
    <w:rsid w:val="17C074F9"/>
    <w:rsid w:val="1800023D"/>
    <w:rsid w:val="18727395"/>
    <w:rsid w:val="18A955AC"/>
    <w:rsid w:val="19EE2A43"/>
    <w:rsid w:val="19F17E3E"/>
    <w:rsid w:val="19F83806"/>
    <w:rsid w:val="1A051B3B"/>
    <w:rsid w:val="1A165AF6"/>
    <w:rsid w:val="1A1B135F"/>
    <w:rsid w:val="1A516B2E"/>
    <w:rsid w:val="1A937147"/>
    <w:rsid w:val="1B1D4C62"/>
    <w:rsid w:val="1B544B28"/>
    <w:rsid w:val="1BE35EAC"/>
    <w:rsid w:val="1C6B487E"/>
    <w:rsid w:val="1D631B07"/>
    <w:rsid w:val="1D992CC6"/>
    <w:rsid w:val="1DF38228"/>
    <w:rsid w:val="1E3B3D7D"/>
    <w:rsid w:val="1E4075E6"/>
    <w:rsid w:val="1E6432D4"/>
    <w:rsid w:val="1EEC5780"/>
    <w:rsid w:val="1EFB52BB"/>
    <w:rsid w:val="1F0B19A2"/>
    <w:rsid w:val="1F3507CD"/>
    <w:rsid w:val="1F4924CA"/>
    <w:rsid w:val="1F4E5D32"/>
    <w:rsid w:val="1F647304"/>
    <w:rsid w:val="1F8452B0"/>
    <w:rsid w:val="1F9C6A9E"/>
    <w:rsid w:val="1FB262C1"/>
    <w:rsid w:val="1FBF0E2C"/>
    <w:rsid w:val="1FCB1131"/>
    <w:rsid w:val="1FE21EC2"/>
    <w:rsid w:val="203171E6"/>
    <w:rsid w:val="20592BE1"/>
    <w:rsid w:val="20F87D04"/>
    <w:rsid w:val="213D7E0C"/>
    <w:rsid w:val="216D06F2"/>
    <w:rsid w:val="216E1628"/>
    <w:rsid w:val="21CE6CB6"/>
    <w:rsid w:val="21D20555"/>
    <w:rsid w:val="21E32762"/>
    <w:rsid w:val="229879F0"/>
    <w:rsid w:val="229972C4"/>
    <w:rsid w:val="23515DF1"/>
    <w:rsid w:val="237C4C1C"/>
    <w:rsid w:val="23812232"/>
    <w:rsid w:val="23B26890"/>
    <w:rsid w:val="243A0633"/>
    <w:rsid w:val="2492221D"/>
    <w:rsid w:val="24967F5F"/>
    <w:rsid w:val="24B65F0C"/>
    <w:rsid w:val="24D82326"/>
    <w:rsid w:val="24DB5972"/>
    <w:rsid w:val="24F37160"/>
    <w:rsid w:val="253908EB"/>
    <w:rsid w:val="26347A30"/>
    <w:rsid w:val="263C1AFA"/>
    <w:rsid w:val="265A320F"/>
    <w:rsid w:val="26C16DEA"/>
    <w:rsid w:val="26CD39E1"/>
    <w:rsid w:val="28A32C4B"/>
    <w:rsid w:val="293B2E83"/>
    <w:rsid w:val="29564161"/>
    <w:rsid w:val="2AA368F4"/>
    <w:rsid w:val="2AB2780B"/>
    <w:rsid w:val="2B8E1990"/>
    <w:rsid w:val="2BEF61A7"/>
    <w:rsid w:val="2CEB2E12"/>
    <w:rsid w:val="2D173C07"/>
    <w:rsid w:val="2D8A6187"/>
    <w:rsid w:val="2DB800CF"/>
    <w:rsid w:val="2DCA7515"/>
    <w:rsid w:val="2DCE0BB4"/>
    <w:rsid w:val="2DE17B90"/>
    <w:rsid w:val="2E0A72C8"/>
    <w:rsid w:val="2E2B796A"/>
    <w:rsid w:val="2E391E69"/>
    <w:rsid w:val="2E6609A2"/>
    <w:rsid w:val="2EC456C9"/>
    <w:rsid w:val="2EF37D20"/>
    <w:rsid w:val="2F662571"/>
    <w:rsid w:val="2F917CA1"/>
    <w:rsid w:val="2FA21EAE"/>
    <w:rsid w:val="2FA86D99"/>
    <w:rsid w:val="2FDE37BD"/>
    <w:rsid w:val="2FEC137B"/>
    <w:rsid w:val="302204C8"/>
    <w:rsid w:val="304C1E1A"/>
    <w:rsid w:val="30711881"/>
    <w:rsid w:val="3071362F"/>
    <w:rsid w:val="30B359F5"/>
    <w:rsid w:val="31097D0B"/>
    <w:rsid w:val="3137112D"/>
    <w:rsid w:val="31772EC7"/>
    <w:rsid w:val="31BA77CF"/>
    <w:rsid w:val="32D61E6F"/>
    <w:rsid w:val="32E620B2"/>
    <w:rsid w:val="32E77BD8"/>
    <w:rsid w:val="3355548A"/>
    <w:rsid w:val="344C4197"/>
    <w:rsid w:val="345614B9"/>
    <w:rsid w:val="34871673"/>
    <w:rsid w:val="34946FD8"/>
    <w:rsid w:val="34963BA7"/>
    <w:rsid w:val="34C04B85"/>
    <w:rsid w:val="35417A73"/>
    <w:rsid w:val="35DF103A"/>
    <w:rsid w:val="3632560E"/>
    <w:rsid w:val="364F7F6E"/>
    <w:rsid w:val="372B09DB"/>
    <w:rsid w:val="373A0C1E"/>
    <w:rsid w:val="374B4BD9"/>
    <w:rsid w:val="37E45D8D"/>
    <w:rsid w:val="386046B4"/>
    <w:rsid w:val="387C6968"/>
    <w:rsid w:val="38EF3C8A"/>
    <w:rsid w:val="39400042"/>
    <w:rsid w:val="39697599"/>
    <w:rsid w:val="3A5C5A79"/>
    <w:rsid w:val="3A920D71"/>
    <w:rsid w:val="3B223EA3"/>
    <w:rsid w:val="3B5E3171"/>
    <w:rsid w:val="3BAC19BF"/>
    <w:rsid w:val="3BC35686"/>
    <w:rsid w:val="3BC66F24"/>
    <w:rsid w:val="3CDB69FF"/>
    <w:rsid w:val="3D5918F7"/>
    <w:rsid w:val="3E612F34"/>
    <w:rsid w:val="3F275F2C"/>
    <w:rsid w:val="3FD414E4"/>
    <w:rsid w:val="3FFA719D"/>
    <w:rsid w:val="40B82BB4"/>
    <w:rsid w:val="41A73354"/>
    <w:rsid w:val="41AA66E7"/>
    <w:rsid w:val="41FB71FC"/>
    <w:rsid w:val="42C10446"/>
    <w:rsid w:val="432B3DC1"/>
    <w:rsid w:val="438A0837"/>
    <w:rsid w:val="4436451B"/>
    <w:rsid w:val="448636F5"/>
    <w:rsid w:val="44CD30D2"/>
    <w:rsid w:val="44DC3315"/>
    <w:rsid w:val="45B918A8"/>
    <w:rsid w:val="464473C4"/>
    <w:rsid w:val="46DC41C0"/>
    <w:rsid w:val="48930938"/>
    <w:rsid w:val="48AE4FC8"/>
    <w:rsid w:val="49FD0DD8"/>
    <w:rsid w:val="4A5B2F2E"/>
    <w:rsid w:val="4ADF76BB"/>
    <w:rsid w:val="4BE63733"/>
    <w:rsid w:val="4C675935"/>
    <w:rsid w:val="4D5679DC"/>
    <w:rsid w:val="4DFA5A36"/>
    <w:rsid w:val="4EA84268"/>
    <w:rsid w:val="4F440434"/>
    <w:rsid w:val="4FB05ACA"/>
    <w:rsid w:val="50131BB5"/>
    <w:rsid w:val="50175B49"/>
    <w:rsid w:val="501A73E7"/>
    <w:rsid w:val="502F5D8C"/>
    <w:rsid w:val="50342257"/>
    <w:rsid w:val="5076286F"/>
    <w:rsid w:val="507C59AC"/>
    <w:rsid w:val="50854860"/>
    <w:rsid w:val="52662470"/>
    <w:rsid w:val="53423829"/>
    <w:rsid w:val="541859EC"/>
    <w:rsid w:val="547A0454"/>
    <w:rsid w:val="5495703C"/>
    <w:rsid w:val="54CD2C7A"/>
    <w:rsid w:val="54D264E2"/>
    <w:rsid w:val="54EE3C23"/>
    <w:rsid w:val="55627866"/>
    <w:rsid w:val="55656252"/>
    <w:rsid w:val="55E42029"/>
    <w:rsid w:val="56066443"/>
    <w:rsid w:val="56116B96"/>
    <w:rsid w:val="561C5C67"/>
    <w:rsid w:val="56486A5C"/>
    <w:rsid w:val="56D952A8"/>
    <w:rsid w:val="57390153"/>
    <w:rsid w:val="577F7059"/>
    <w:rsid w:val="57C57C38"/>
    <w:rsid w:val="57CF38AB"/>
    <w:rsid w:val="58792246"/>
    <w:rsid w:val="58FA2064"/>
    <w:rsid w:val="59B44408"/>
    <w:rsid w:val="5A8E07B6"/>
    <w:rsid w:val="5AFE34D7"/>
    <w:rsid w:val="5BB31C99"/>
    <w:rsid w:val="5BBC75A4"/>
    <w:rsid w:val="5C4A2E02"/>
    <w:rsid w:val="5D9562FF"/>
    <w:rsid w:val="5F30008D"/>
    <w:rsid w:val="5F3C5A50"/>
    <w:rsid w:val="5F5F4D56"/>
    <w:rsid w:val="5FD96977"/>
    <w:rsid w:val="5FDE21DF"/>
    <w:rsid w:val="60A21B08"/>
    <w:rsid w:val="60BA0556"/>
    <w:rsid w:val="60F11A9E"/>
    <w:rsid w:val="61C3168D"/>
    <w:rsid w:val="61E138C1"/>
    <w:rsid w:val="61E935CB"/>
    <w:rsid w:val="620677CB"/>
    <w:rsid w:val="622163B3"/>
    <w:rsid w:val="62B4751F"/>
    <w:rsid w:val="62E95123"/>
    <w:rsid w:val="631101D6"/>
    <w:rsid w:val="63E92F01"/>
    <w:rsid w:val="64373C6C"/>
    <w:rsid w:val="65755D38"/>
    <w:rsid w:val="66022499"/>
    <w:rsid w:val="67002A3B"/>
    <w:rsid w:val="670C7632"/>
    <w:rsid w:val="678673E4"/>
    <w:rsid w:val="67B0620F"/>
    <w:rsid w:val="67ED19AF"/>
    <w:rsid w:val="6884144A"/>
    <w:rsid w:val="6894168D"/>
    <w:rsid w:val="690600B1"/>
    <w:rsid w:val="690A194F"/>
    <w:rsid w:val="69635503"/>
    <w:rsid w:val="696F20FA"/>
    <w:rsid w:val="69DB4BB5"/>
    <w:rsid w:val="6A097E59"/>
    <w:rsid w:val="6A5A6906"/>
    <w:rsid w:val="6A6255CE"/>
    <w:rsid w:val="6B2018FE"/>
    <w:rsid w:val="6B4F3F91"/>
    <w:rsid w:val="6B9A16B0"/>
    <w:rsid w:val="6BC32289"/>
    <w:rsid w:val="6BE4292B"/>
    <w:rsid w:val="6C3A254B"/>
    <w:rsid w:val="6C3C47B3"/>
    <w:rsid w:val="6D0668D1"/>
    <w:rsid w:val="6D7B106D"/>
    <w:rsid w:val="700E61C9"/>
    <w:rsid w:val="70360035"/>
    <w:rsid w:val="70645DE9"/>
    <w:rsid w:val="70812E3F"/>
    <w:rsid w:val="70D80585"/>
    <w:rsid w:val="71B66B18"/>
    <w:rsid w:val="72281098"/>
    <w:rsid w:val="728F7E46"/>
    <w:rsid w:val="72950143"/>
    <w:rsid w:val="72B97CC3"/>
    <w:rsid w:val="738642C8"/>
    <w:rsid w:val="744523D5"/>
    <w:rsid w:val="746A35A6"/>
    <w:rsid w:val="746F7452"/>
    <w:rsid w:val="74F11DAB"/>
    <w:rsid w:val="757C5983"/>
    <w:rsid w:val="759E7FEF"/>
    <w:rsid w:val="75E43528"/>
    <w:rsid w:val="765863F0"/>
    <w:rsid w:val="76BD0615"/>
    <w:rsid w:val="77274014"/>
    <w:rsid w:val="775A7F45"/>
    <w:rsid w:val="78B87E3D"/>
    <w:rsid w:val="79270181"/>
    <w:rsid w:val="796C4DDB"/>
    <w:rsid w:val="79E87A8A"/>
    <w:rsid w:val="7A1F0FD2"/>
    <w:rsid w:val="7AA240DD"/>
    <w:rsid w:val="7ABB519F"/>
    <w:rsid w:val="7AED10D1"/>
    <w:rsid w:val="7B6C6499"/>
    <w:rsid w:val="7BBA3565"/>
    <w:rsid w:val="7BD00820"/>
    <w:rsid w:val="7C991510"/>
    <w:rsid w:val="7D221505"/>
    <w:rsid w:val="7D4270FB"/>
    <w:rsid w:val="7F1E0998"/>
    <w:rsid w:val="7F857B2A"/>
    <w:rsid w:val="7FBF85C9"/>
    <w:rsid w:val="7FDD1714"/>
    <w:rsid w:val="DEFDB41D"/>
    <w:rsid w:val="E6DFD244"/>
    <w:rsid w:val="FB134C7C"/>
    <w:rsid w:val="FFB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5">
    <w:name w:val="List Paragraph"/>
    <w:basedOn w:val="1"/>
    <w:unhideWhenUsed/>
    <w:qFormat/>
    <w:uiPriority w:val="34"/>
    <w:pPr>
      <w:ind w:firstLine="420" w:firstLineChars="200"/>
    </w:pPr>
  </w:style>
  <w:style w:type="paragraph" w:customStyle="1" w:styleId="6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diagramQuickStyle" Target="diagrams/quickStyle1.xml"/><Relationship Id="rId8" Type="http://schemas.openxmlformats.org/officeDocument/2006/relationships/diagramLayout" Target="diagrams/layout1.xml"/><Relationship Id="rId7" Type="http://schemas.openxmlformats.org/officeDocument/2006/relationships/diagramData" Target="diagrams/data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microsoft.com/office/2007/relationships/diagramDrawing" Target="diagrams/drawing1.xml"/><Relationship Id="rId10" Type="http://schemas.openxmlformats.org/officeDocument/2006/relationships/diagramColors" Target="diagrams/colors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1">
  <dgm:title val=""/>
  <dgm:desc val=""/>
  <dgm:catLst>
    <dgm:cat type="accent1" pri="11100"/>
  </dgm:catLst>
  <dgm:styleLbl name="align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1">
        <a:alpha val="9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4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0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2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1">
        <a:alpha val="40000"/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1">
        <a:shade val="80000"/>
      </a:schemeClr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B1D179-D23D-41D4-AEEF-E4B9FEB06903}" type="doc">
      <dgm:prSet loTypeId="process" loCatId="process" qsTypeId="urn:microsoft.com/office/officeart/2005/8/quickstyle/simple1" qsCatId="simple" csTypeId="urn:microsoft.com/office/officeart/2005/8/colors/accent1_1" csCatId="accent1" phldr="1"/>
      <dgm:spPr/>
    </dgm:pt>
    <dgm:pt modelId="{3F25DA44-7F3E-4C17-A40B-7F663FDBEA65}">
      <dgm:prSet phldrT="[文本]"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>简历</a:t>
          </a: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>投递</a:t>
          </a: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/>
          </a:r>
          <a:endParaRPr lang="zh-CN" altLang="en-US" sz="1400">
            <a:latin typeface="方正仿宋_GBK" panose="03000509000000000000" charset="-122"/>
            <a:ea typeface="方正仿宋_GBK" panose="03000509000000000000" charset="-122"/>
          </a:endParaRPr>
        </a:p>
      </dgm:t>
    </dgm:pt>
    <dgm:pt modelId="{EE9066D1-3403-4469-8E8C-0D40A82430F2}" cxnId="{8A34D902-06C3-4C74-A353-ECC4913E496D}" type="parTrans">
      <dgm:prSet/>
      <dgm:spPr/>
    </dgm:pt>
    <dgm:pt modelId="{8EC5AF5E-9C9F-410A-A755-A3EA5186F948}" cxnId="{8A34D902-06C3-4C74-A353-ECC4913E496D}" type="sibTrans">
      <dgm:prSet/>
      <dgm:spPr/>
      <dgm:t>
        <a:bodyPr/>
        <a:p>
          <a:endParaRPr lang="zh-CN" altLang="en-US"/>
        </a:p>
      </dgm:t>
    </dgm:pt>
    <dgm:pt modelId="{2E2F4D3A-969C-4DB2-9FA9-5C4A40369351}">
      <dgm:prSet phldrT="[文本]"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>线上</a:t>
          </a: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>测评</a:t>
          </a: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/>
          </a:r>
          <a:endParaRPr lang="zh-CN" altLang="en-US" sz="1400">
            <a:latin typeface="方正仿宋_GBK" panose="03000509000000000000" charset="-122"/>
            <a:ea typeface="方正仿宋_GBK" panose="03000509000000000000" charset="-122"/>
          </a:endParaRPr>
        </a:p>
      </dgm:t>
    </dgm:pt>
    <dgm:pt modelId="{1E934BFE-4D40-486C-8784-F698A10C4CF5}" cxnId="{7353B36A-D3BD-4E67-8660-6469C49729A3}" type="parTrans">
      <dgm:prSet/>
      <dgm:spPr/>
    </dgm:pt>
    <dgm:pt modelId="{EC1AFF77-9232-4EEB-95CB-85CEAB3B1FC0}" cxnId="{7353B36A-D3BD-4E67-8660-6469C49729A3}" type="sibTrans">
      <dgm:prSet/>
      <dgm:spPr/>
      <dgm:t>
        <a:bodyPr/>
        <a:p>
          <a:endParaRPr lang="zh-CN" altLang="en-US"/>
        </a:p>
      </dgm:t>
    </dgm:pt>
    <dgm:pt modelId="{37B86CFA-59B5-46FA-8A6B-9FB187CE14DF}">
      <dgm:prSet phldrT="[文本]"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>简历</a:t>
          </a: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>筛选</a:t>
          </a:r>
          <a:r>
            <a:rPr lang="zh-CN" altLang="en-US" sz="1400">
              <a:latin typeface="方正仿宋_GBK" panose="03000509000000000000" charset="-122"/>
              <a:ea typeface="方正仿宋_GBK" panose="03000509000000000000" charset="-122"/>
            </a:rPr>
            <a:t/>
          </a:r>
          <a:endParaRPr lang="zh-CN" altLang="en-US" sz="1400">
            <a:latin typeface="方正仿宋_GBK" panose="03000509000000000000" charset="-122"/>
            <a:ea typeface="方正仿宋_GBK" panose="03000509000000000000" charset="-122"/>
          </a:endParaRPr>
        </a:p>
      </dgm:t>
    </dgm:pt>
    <dgm:pt modelId="{9DABF4F3-A9E6-40B1-A863-AC9409CC14BB}" cxnId="{E459E58F-6EDA-4452-A5A6-742B0701F770}" type="parTrans">
      <dgm:prSet/>
      <dgm:spPr/>
    </dgm:pt>
    <dgm:pt modelId="{18EFF3C3-47F9-402B-A3F3-E9310EA281B4}" cxnId="{E459E58F-6EDA-4452-A5A6-742B0701F770}" type="sibTrans">
      <dgm:prSet/>
      <dgm:spPr/>
    </dgm:pt>
    <dgm:pt modelId="{198E0BCB-636A-4B3F-ACA3-17CFD6DC1A61}">
      <dgm:prSet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sz="1400">
              <a:latin typeface="方正仿宋_GBK" panose="03000509000000000000" charset="-122"/>
              <a:ea typeface="方正仿宋_GBK" panose="03000509000000000000" charset="-122"/>
            </a:rPr>
            <a:t>面试</a:t>
          </a:r>
          <a:r>
            <a:rPr lang="zh-CN" sz="1400">
              <a:latin typeface="方正仿宋_GBK" panose="03000509000000000000" charset="-122"/>
              <a:ea typeface="方正仿宋_GBK" panose="03000509000000000000" charset="-122"/>
            </a:rPr>
            <a:t>评估</a:t>
          </a:r>
          <a:r>
            <a:rPr altLang="en-US" sz="1400">
              <a:latin typeface="方正仿宋_GBK" panose="03000509000000000000" charset="-122"/>
              <a:ea typeface="方正仿宋_GBK" panose="03000509000000000000" charset="-122"/>
            </a:rPr>
            <a:t/>
          </a:r>
          <a:endParaRPr altLang="en-US" sz="1400">
            <a:latin typeface="方正仿宋_GBK" panose="03000509000000000000" charset="-122"/>
            <a:ea typeface="方正仿宋_GBK" panose="03000509000000000000" charset="-122"/>
          </a:endParaRPr>
        </a:p>
      </dgm:t>
    </dgm:pt>
    <dgm:pt modelId="{BBBBC077-F897-4027-8716-09A038E4B5E5}" cxnId="{15DF1C62-11D6-4451-A1E1-B0E72DD1EC57}" type="parTrans">
      <dgm:prSet/>
      <dgm:spPr/>
    </dgm:pt>
    <dgm:pt modelId="{958CB423-A10C-40F9-BB70-ADAEAC27551D}" cxnId="{15DF1C62-11D6-4451-A1E1-B0E72DD1EC57}" type="sibTrans">
      <dgm:prSet/>
      <dgm:spPr/>
    </dgm:pt>
    <dgm:pt modelId="{111BB84D-0EB3-4F8A-BBA0-E033EF62C82E}">
      <dgm:prSet phldr="0" custT="1"/>
      <dgm:spPr/>
      <dgm:t>
        <a:bodyPr vert="horz" wrap="square"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4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发放</a:t>
          </a:r>
          <a:r>
            <a:rPr lang="en-US" altLang="zh-CN" sz="14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offer</a:t>
          </a:r>
          <a:r>
            <a:rPr lang="zh-CN" sz="14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/>
          </a:r>
          <a:endParaRPr lang="zh-CN" sz="1400">
            <a:latin typeface="方正仿宋_GBK" panose="03000509000000000000" charset="-122"/>
            <a:ea typeface="方正仿宋_GBK" panose="03000509000000000000" charset="-122"/>
            <a:cs typeface="方正仿宋_GBK" panose="03000509000000000000" charset="-122"/>
          </a:endParaRPr>
        </a:p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0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（</a:t>
          </a:r>
          <a:r>
            <a:rPr lang="zh-CN" sz="10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三方</a:t>
          </a:r>
          <a:r>
            <a:rPr lang="zh-CN" sz="10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签订</a:t>
          </a:r>
          <a:r>
            <a:rPr lang="en-US" altLang="zh-CN" sz="10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）</a:t>
          </a:r>
          <a:r>
            <a:rPr lang="en-US" altLang="zh-CN" sz="1000"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/>
          </a:r>
          <a:endParaRPr lang="en-US" altLang="zh-CN" sz="1000">
            <a:latin typeface="方正仿宋_GBK" panose="03000509000000000000" charset="-122"/>
            <a:ea typeface="方正仿宋_GBK" panose="03000509000000000000" charset="-122"/>
            <a:cs typeface="方正仿宋_GBK" panose="03000509000000000000" charset="-122"/>
          </a:endParaRPr>
        </a:p>
      </dgm:t>
    </dgm:pt>
    <dgm:pt modelId="{A0A491D1-3483-40F0-87CF-ECC11EA9D1CC}" cxnId="{A6FE08DD-4BCB-45D9-AB98-9CF4B3B9447E}" type="parTrans">
      <dgm:prSet/>
      <dgm:spPr/>
    </dgm:pt>
    <dgm:pt modelId="{3E8D846A-948E-48B6-987E-65A2C4BCD701}" cxnId="{A6FE08DD-4BCB-45D9-AB98-9CF4B3B9447E}" type="sibTrans">
      <dgm:prSet/>
      <dgm:spPr/>
    </dgm:pt>
    <dgm:pt modelId="{BF708676-7EFC-4C81-9D3A-3E677EAC1C7B}" type="pres">
      <dgm:prSet presAssocID="{8EB1D179-D23D-41D4-AEEF-E4B9FEB06903}" presName="Name0" presStyleCnt="0">
        <dgm:presLayoutVars>
          <dgm:dir/>
          <dgm:resizeHandles val="exact"/>
        </dgm:presLayoutVars>
      </dgm:prSet>
      <dgm:spPr/>
    </dgm:pt>
    <dgm:pt modelId="{111DEAC9-5D4C-4A6A-A44E-082A26F60596}" type="pres">
      <dgm:prSet presAssocID="{3F25DA44-7F3E-4C17-A40B-7F663FDBEA65}" presName="node" presStyleLbl="node1" presStyleIdx="0" presStyleCnt="5">
        <dgm:presLayoutVars>
          <dgm:bulletEnabled val="1"/>
        </dgm:presLayoutVars>
      </dgm:prSet>
      <dgm:spPr/>
    </dgm:pt>
    <dgm:pt modelId="{8A5CF0CE-3323-464D-9C63-05C1BDB053F5}" type="pres">
      <dgm:prSet presAssocID="{8EC5AF5E-9C9F-410A-A755-A3EA5186F948}" presName="sibTrans" presStyleLbl="sibTrans2D1" presStyleIdx="0" presStyleCnt="4"/>
      <dgm:spPr/>
    </dgm:pt>
    <dgm:pt modelId="{5FA465F6-7607-499F-BFB2-52F4E071FB67}" type="pres">
      <dgm:prSet presAssocID="{8EC5AF5E-9C9F-410A-A755-A3EA5186F948}" presName="connectorText" presStyleCnt="0"/>
      <dgm:spPr/>
    </dgm:pt>
    <dgm:pt modelId="{552FB8E7-A5FB-4CC3-94C3-CE0BDF19F9F1}" type="pres">
      <dgm:prSet presAssocID="{2E2F4D3A-969C-4DB2-9FA9-5C4A40369351}" presName="node" presStyleLbl="node1" presStyleIdx="1" presStyleCnt="5">
        <dgm:presLayoutVars>
          <dgm:bulletEnabled val="1"/>
        </dgm:presLayoutVars>
      </dgm:prSet>
      <dgm:spPr/>
    </dgm:pt>
    <dgm:pt modelId="{353C3794-50AA-4D44-83C9-CE28317C3317}" type="pres">
      <dgm:prSet presAssocID="{EC1AFF77-9232-4EEB-95CB-85CEAB3B1FC0}" presName="sibTrans" presStyleLbl="sibTrans2D1" presStyleIdx="1" presStyleCnt="4"/>
      <dgm:spPr/>
    </dgm:pt>
    <dgm:pt modelId="{5AFF040D-0639-4120-9E39-DA822CF9F321}" type="pres">
      <dgm:prSet presAssocID="{EC1AFF77-9232-4EEB-95CB-85CEAB3B1FC0}" presName="connectorText" presStyleCnt="0"/>
      <dgm:spPr/>
    </dgm:pt>
    <dgm:pt modelId="{A1E15D63-E1FF-4A28-A04F-A2B65927BC31}" type="pres">
      <dgm:prSet presAssocID="{37B86CFA-59B5-46FA-8A6B-9FB187CE14DF}" presName="node" presStyleLbl="node1" presStyleIdx="2" presStyleCnt="5">
        <dgm:presLayoutVars>
          <dgm:bulletEnabled val="1"/>
        </dgm:presLayoutVars>
      </dgm:prSet>
      <dgm:spPr/>
    </dgm:pt>
    <dgm:pt modelId="{12287E52-FD0D-4D7F-8CE9-E5BBB15ACFF9}" type="pres">
      <dgm:prSet presAssocID="{18EFF3C3-47F9-402B-A3F3-E9310EA281B4}" presName="sibTrans" presStyleLbl="sibTrans2D1" presStyleIdx="2" presStyleCnt="4"/>
      <dgm:spPr/>
    </dgm:pt>
    <dgm:pt modelId="{2E3A0728-E408-4AFE-BA0E-9B8DBF5001B8}" type="pres">
      <dgm:prSet presAssocID="{18EFF3C3-47F9-402B-A3F3-E9310EA281B4}" presName="connectorText" presStyleCnt="0"/>
      <dgm:spPr/>
    </dgm:pt>
    <dgm:pt modelId="{6195D1E5-C15A-41EF-866B-16D642BB1875}" type="pres">
      <dgm:prSet presAssocID="{198E0BCB-636A-4B3F-ACA3-17CFD6DC1A61}" presName="node" presStyleLbl="node1" presStyleIdx="3" presStyleCnt="5">
        <dgm:presLayoutVars>
          <dgm:bulletEnabled val="1"/>
        </dgm:presLayoutVars>
      </dgm:prSet>
      <dgm:spPr/>
    </dgm:pt>
    <dgm:pt modelId="{D809D5BD-96AA-4B4D-853A-2BE104390A6F}" type="pres">
      <dgm:prSet presAssocID="{958CB423-A10C-40F9-BB70-ADAEAC27551D}" presName="sibTrans" presStyleLbl="sibTrans2D1" presStyleIdx="3" presStyleCnt="4"/>
      <dgm:spPr/>
    </dgm:pt>
    <dgm:pt modelId="{4C54AADE-AB3E-4AB3-82B5-65CB23FCDAF4}" type="pres">
      <dgm:prSet presAssocID="{958CB423-A10C-40F9-BB70-ADAEAC27551D}" presName="connectorText" presStyleCnt="0"/>
      <dgm:spPr/>
    </dgm:pt>
    <dgm:pt modelId="{49FD0E0F-BE93-484F-9EF6-FCD4BD701693}" type="pres">
      <dgm:prSet presAssocID="{111BB84D-0EB3-4F8A-BBA0-E033EF62C82E}" presName="node" presStyleLbl="node1" presStyleIdx="4" presStyleCnt="5">
        <dgm:presLayoutVars>
          <dgm:bulletEnabled val="1"/>
        </dgm:presLayoutVars>
      </dgm:prSet>
      <dgm:spPr/>
    </dgm:pt>
  </dgm:ptLst>
  <dgm:cxnLst>
    <dgm:cxn modelId="{8A34D902-06C3-4C74-A353-ECC4913E496D}" srcId="{8EB1D179-D23D-41D4-AEEF-E4B9FEB06903}" destId="{3F25DA44-7F3E-4C17-A40B-7F663FDBEA65}" srcOrd="0" destOrd="0" parTransId="{EE9066D1-3403-4469-8E8C-0D40A82430F2}" sibTransId="{8EC5AF5E-9C9F-410A-A755-A3EA5186F948}"/>
    <dgm:cxn modelId="{7353B36A-D3BD-4E67-8660-6469C49729A3}" srcId="{8EB1D179-D23D-41D4-AEEF-E4B9FEB06903}" destId="{2E2F4D3A-969C-4DB2-9FA9-5C4A40369351}" srcOrd="1" destOrd="0" parTransId="{1E934BFE-4D40-486C-8784-F698A10C4CF5}" sibTransId="{EC1AFF77-9232-4EEB-95CB-85CEAB3B1FC0}"/>
    <dgm:cxn modelId="{E459E58F-6EDA-4452-A5A6-742B0701F770}" srcId="{8EB1D179-D23D-41D4-AEEF-E4B9FEB06903}" destId="{37B86CFA-59B5-46FA-8A6B-9FB187CE14DF}" srcOrd="2" destOrd="0" parTransId="{9DABF4F3-A9E6-40B1-A863-AC9409CC14BB}" sibTransId="{18EFF3C3-47F9-402B-A3F3-E9310EA281B4}"/>
    <dgm:cxn modelId="{15DF1C62-11D6-4451-A1E1-B0E72DD1EC57}" srcId="{8EB1D179-D23D-41D4-AEEF-E4B9FEB06903}" destId="{198E0BCB-636A-4B3F-ACA3-17CFD6DC1A61}" srcOrd="3" destOrd="0" parTransId="{BBBBC077-F897-4027-8716-09A038E4B5E5}" sibTransId="{958CB423-A10C-40F9-BB70-ADAEAC27551D}"/>
    <dgm:cxn modelId="{A6FE08DD-4BCB-45D9-AB98-9CF4B3B9447E}" srcId="{8EB1D179-D23D-41D4-AEEF-E4B9FEB06903}" destId="{111BB84D-0EB3-4F8A-BBA0-E033EF62C82E}" srcOrd="4" destOrd="0" parTransId="{A0A491D1-3483-40F0-87CF-ECC11EA9D1CC}" sibTransId="{3E8D846A-948E-48B6-987E-65A2C4BCD701}"/>
    <dgm:cxn modelId="{3CB434D2-D3C9-46EB-875B-1C36D1CDEEB4}" type="presOf" srcId="{8EB1D179-D23D-41D4-AEEF-E4B9FEB06903}" destId="{BF708676-7EFC-4C81-9D3A-3E677EAC1C7B}" srcOrd="0" destOrd="0" presId="urn:microsoft.com/office/officeart/2005/8/layout/process1"/>
    <dgm:cxn modelId="{6421D0CE-9919-4630-94B2-66C4E82292D2}" type="presParOf" srcId="{BF708676-7EFC-4C81-9D3A-3E677EAC1C7B}" destId="{111DEAC9-5D4C-4A6A-A44E-082A26F60596}" srcOrd="0" destOrd="0" presId="urn:microsoft.com/office/officeart/2005/8/layout/process1"/>
    <dgm:cxn modelId="{EB64684B-BDFD-4865-9F49-6ECFADD87C19}" type="presOf" srcId="{3F25DA44-7F3E-4C17-A40B-7F663FDBEA65}" destId="{111DEAC9-5D4C-4A6A-A44E-082A26F60596}" srcOrd="0" destOrd="0" presId="urn:microsoft.com/office/officeart/2005/8/layout/process1"/>
    <dgm:cxn modelId="{2A3B759D-F46F-4F6C-8C46-667FC8E63F31}" type="presParOf" srcId="{BF708676-7EFC-4C81-9D3A-3E677EAC1C7B}" destId="{8A5CF0CE-3323-464D-9C63-05C1BDB053F5}" srcOrd="1" destOrd="0" presId="urn:microsoft.com/office/officeart/2005/8/layout/process1"/>
    <dgm:cxn modelId="{CC033EBD-39C5-43E1-9C01-FE8E7213EDB7}" type="presOf" srcId="{8EC5AF5E-9C9F-410A-A755-A3EA5186F948}" destId="{8A5CF0CE-3323-464D-9C63-05C1BDB053F5}" srcOrd="0" destOrd="0" presId="urn:microsoft.com/office/officeart/2005/8/layout/process1"/>
    <dgm:cxn modelId="{6B02F95A-39E7-44C9-9A2A-71E6CD5BBC91}" type="presParOf" srcId="{8A5CF0CE-3323-464D-9C63-05C1BDB053F5}" destId="{5FA465F6-7607-499F-BFB2-52F4E071FB67}" srcOrd="0" destOrd="1" presId="urn:microsoft.com/office/officeart/2005/8/layout/process1"/>
    <dgm:cxn modelId="{A66A8F42-04AE-4544-A2BB-50B57B8967BC}" type="presOf" srcId="{8EC5AF5E-9C9F-410A-A755-A3EA5186F948}" destId="{5FA465F6-7607-499F-BFB2-52F4E071FB67}" srcOrd="1" destOrd="0" presId="urn:microsoft.com/office/officeart/2005/8/layout/process1"/>
    <dgm:cxn modelId="{CAFCD23D-7655-44F5-9B1F-24DEE036AE42}" type="presParOf" srcId="{BF708676-7EFC-4C81-9D3A-3E677EAC1C7B}" destId="{552FB8E7-A5FB-4CC3-94C3-CE0BDF19F9F1}" srcOrd="2" destOrd="0" presId="urn:microsoft.com/office/officeart/2005/8/layout/process1"/>
    <dgm:cxn modelId="{83E3A856-A946-419F-80B7-B977939C5FE5}" type="presOf" srcId="{2E2F4D3A-969C-4DB2-9FA9-5C4A40369351}" destId="{552FB8E7-A5FB-4CC3-94C3-CE0BDF19F9F1}" srcOrd="0" destOrd="0" presId="urn:microsoft.com/office/officeart/2005/8/layout/process1"/>
    <dgm:cxn modelId="{6885D852-116B-4091-9CB5-C23DDF1DC1FF}" type="presParOf" srcId="{BF708676-7EFC-4C81-9D3A-3E677EAC1C7B}" destId="{353C3794-50AA-4D44-83C9-CE28317C3317}" srcOrd="3" destOrd="0" presId="urn:microsoft.com/office/officeart/2005/8/layout/process1"/>
    <dgm:cxn modelId="{5679E0A0-CD60-4847-A465-468593ED3E38}" type="presOf" srcId="{EC1AFF77-9232-4EEB-95CB-85CEAB3B1FC0}" destId="{353C3794-50AA-4D44-83C9-CE28317C3317}" srcOrd="0" destOrd="0" presId="urn:microsoft.com/office/officeart/2005/8/layout/process1"/>
    <dgm:cxn modelId="{8BD2A30C-8C97-414B-9799-54E0FB8BF239}" type="presParOf" srcId="{353C3794-50AA-4D44-83C9-CE28317C3317}" destId="{5AFF040D-0639-4120-9E39-DA822CF9F321}" srcOrd="0" destOrd="3" presId="urn:microsoft.com/office/officeart/2005/8/layout/process1"/>
    <dgm:cxn modelId="{1BB7F529-FA47-4BFF-9E02-F08AE7674914}" type="presOf" srcId="{EC1AFF77-9232-4EEB-95CB-85CEAB3B1FC0}" destId="{5AFF040D-0639-4120-9E39-DA822CF9F321}" srcOrd="1" destOrd="0" presId="urn:microsoft.com/office/officeart/2005/8/layout/process1"/>
    <dgm:cxn modelId="{C06EEC8C-41A7-408B-9CB1-E2AEFBFD65F7}" type="presParOf" srcId="{BF708676-7EFC-4C81-9D3A-3E677EAC1C7B}" destId="{A1E15D63-E1FF-4A28-A04F-A2B65927BC31}" srcOrd="4" destOrd="0" presId="urn:microsoft.com/office/officeart/2005/8/layout/process1"/>
    <dgm:cxn modelId="{5EAF9944-F80B-434B-957C-5F34E3E15792}" type="presOf" srcId="{37B86CFA-59B5-46FA-8A6B-9FB187CE14DF}" destId="{A1E15D63-E1FF-4A28-A04F-A2B65927BC31}" srcOrd="0" destOrd="0" presId="urn:microsoft.com/office/officeart/2005/8/layout/process1"/>
    <dgm:cxn modelId="{EE970A96-0433-4F2A-849D-7AB222CB8F59}" type="presParOf" srcId="{BF708676-7EFC-4C81-9D3A-3E677EAC1C7B}" destId="{12287E52-FD0D-4D7F-8CE9-E5BBB15ACFF9}" srcOrd="5" destOrd="0" presId="urn:microsoft.com/office/officeart/2005/8/layout/process1"/>
    <dgm:cxn modelId="{D7E9341A-5FA3-4E84-8FC7-CE4AB2087D72}" type="presOf" srcId="{18EFF3C3-47F9-402B-A3F3-E9310EA281B4}" destId="{12287E52-FD0D-4D7F-8CE9-E5BBB15ACFF9}" srcOrd="0" destOrd="0" presId="urn:microsoft.com/office/officeart/2005/8/layout/process1"/>
    <dgm:cxn modelId="{164A9407-CA94-46C3-890F-673E7646D7A3}" type="presParOf" srcId="{12287E52-FD0D-4D7F-8CE9-E5BBB15ACFF9}" destId="{2E3A0728-E408-4AFE-BA0E-9B8DBF5001B8}" srcOrd="0" destOrd="5" presId="urn:microsoft.com/office/officeart/2005/8/layout/process1"/>
    <dgm:cxn modelId="{93CE0BFE-0E2D-4C09-8311-31F429166593}" type="presOf" srcId="{18EFF3C3-47F9-402B-A3F3-E9310EA281B4}" destId="{2E3A0728-E408-4AFE-BA0E-9B8DBF5001B8}" srcOrd="1" destOrd="0" presId="urn:microsoft.com/office/officeart/2005/8/layout/process1"/>
    <dgm:cxn modelId="{E41DBE1C-A334-44F9-BA43-63D4F7C55AF5}" type="presParOf" srcId="{BF708676-7EFC-4C81-9D3A-3E677EAC1C7B}" destId="{6195D1E5-C15A-41EF-866B-16D642BB1875}" srcOrd="6" destOrd="0" presId="urn:microsoft.com/office/officeart/2005/8/layout/process1"/>
    <dgm:cxn modelId="{21E3784E-5C09-4A13-960C-7C0F5FDA32D6}" type="presOf" srcId="{198E0BCB-636A-4B3F-ACA3-17CFD6DC1A61}" destId="{6195D1E5-C15A-41EF-866B-16D642BB1875}" srcOrd="0" destOrd="0" presId="urn:microsoft.com/office/officeart/2005/8/layout/process1"/>
    <dgm:cxn modelId="{9CC50134-D118-4EAC-B930-07863250BB5F}" type="presParOf" srcId="{BF708676-7EFC-4C81-9D3A-3E677EAC1C7B}" destId="{D809D5BD-96AA-4B4D-853A-2BE104390A6F}" srcOrd="7" destOrd="0" presId="urn:microsoft.com/office/officeart/2005/8/layout/process1"/>
    <dgm:cxn modelId="{94CB9D11-5B3D-4665-9996-7641692C250A}" type="presOf" srcId="{958CB423-A10C-40F9-BB70-ADAEAC27551D}" destId="{D809D5BD-96AA-4B4D-853A-2BE104390A6F}" srcOrd="0" destOrd="0" presId="urn:microsoft.com/office/officeart/2005/8/layout/process1"/>
    <dgm:cxn modelId="{8402E89B-3748-41B3-A99C-5FB4F1A21021}" type="presParOf" srcId="{D809D5BD-96AA-4B4D-853A-2BE104390A6F}" destId="{4C54AADE-AB3E-4AB3-82B5-65CB23FCDAF4}" srcOrd="0" destOrd="7" presId="urn:microsoft.com/office/officeart/2005/8/layout/process1"/>
    <dgm:cxn modelId="{32374B02-CDE6-414E-B9C2-8B9A65700EFD}" type="presOf" srcId="{958CB423-A10C-40F9-BB70-ADAEAC27551D}" destId="{4C54AADE-AB3E-4AB3-82B5-65CB23FCDAF4}" srcOrd="1" destOrd="0" presId="urn:microsoft.com/office/officeart/2005/8/layout/process1"/>
    <dgm:cxn modelId="{8F558FDF-E8E1-4FAB-9FF5-AC87E5DA903B}" type="presParOf" srcId="{BF708676-7EFC-4C81-9D3A-3E677EAC1C7B}" destId="{49FD0E0F-BE93-484F-9EF6-FCD4BD701693}" srcOrd="8" destOrd="0" presId="urn:microsoft.com/office/officeart/2005/8/layout/process1"/>
    <dgm:cxn modelId="{8C93FC0D-A177-4BDC-84B3-D5AB592BA19B}" type="presOf" srcId="{111BB84D-0EB3-4F8A-BBA0-E033EF62C82E}" destId="{49FD0E0F-BE93-484F-9EF6-FCD4BD701693}" srcOrd="0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 xmlns:r="http://schemas.openxmlformats.org/officeDocument/2006/relationships">
  <dsp:spTree>
    <dsp:nvGrpSpPr>
      <dsp:cNvPr id="2" name="组合 1"/>
      <dsp:cNvGrpSpPr/>
    </dsp:nvGrpSpPr>
    <dsp:grpSpPr>
      <a:xfrm>
        <a:off x="0" y="0"/>
        <a:ext cx="6106160" cy="455930"/>
        <a:chOff x="0" y="0"/>
        <a:chExt cx="6106160" cy="455930"/>
      </a:xfrm>
    </dsp:grpSpPr>
    <dsp:sp modelId="{111DEAC9-5D4C-4A6A-A44E-082A26F60596}">
      <dsp:nvSpPr>
        <dsp:cNvPr id="3" name="圆角矩形 2"/>
        <dsp:cNvSpPr/>
      </dsp:nvSpPr>
      <dsp:spPr bwMode="white">
        <a:xfrm>
          <a:off x="0" y="0"/>
          <a:ext cx="925176" cy="455930"/>
        </a:xfrm>
        <a:prstGeom prst="roundRect">
          <a:avLst>
            <a:gd name="adj" fmla="val 10000"/>
          </a:avLst>
        </a:prstGeom>
      </dsp:spPr>
      <dsp:style>
        <a:lnRef idx="2">
          <a:schemeClr val="accent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vert="horz" wrap="square" lIns="53340" tIns="53340" rIns="53340" bIns="5334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简历</a:t>
          </a:r>
          <a:r>
            <a:rPr lang="zh-CN" altLang="en-US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投递</a:t>
          </a:r>
          <a:endParaRPr lang="zh-CN" altLang="en-US" sz="1400">
            <a:solidFill>
              <a:schemeClr val="dk1"/>
            </a:solidFill>
            <a:latin typeface="方正仿宋_GBK" panose="03000509000000000000" charset="-122"/>
            <a:ea typeface="方正仿宋_GBK" panose="03000509000000000000" charset="-122"/>
          </a:endParaRPr>
        </a:p>
      </dsp:txBody>
      <dsp:txXfrm>
        <a:off x="0" y="0"/>
        <a:ext cx="925176" cy="455930"/>
      </dsp:txXfrm>
    </dsp:sp>
    <dsp:sp modelId="{8A5CF0CE-3323-464D-9C63-05C1BDB053F5}">
      <dsp:nvSpPr>
        <dsp:cNvPr id="4" name="右箭头 3"/>
        <dsp:cNvSpPr/>
      </dsp:nvSpPr>
      <dsp:spPr bwMode="white">
        <a:xfrm>
          <a:off x="1012142" y="113243"/>
          <a:ext cx="196137" cy="229444"/>
        </a:xfrm>
        <a:prstGeom prst="rightArrow">
          <a:avLst>
            <a:gd name="adj1" fmla="val 60000"/>
            <a:gd name="adj2" fmla="val 50000"/>
          </a:avLst>
        </a:prstGeom>
      </dsp:spPr>
      <dsp:style>
        <a:lnRef idx="0">
          <a:schemeClr val="accent1">
            <a:tint val="60000"/>
          </a:schemeClr>
        </a:lnRef>
        <a:fillRef idx="1">
          <a:schemeClr val="accent1">
            <a:tint val="60000"/>
          </a:schemeClr>
        </a:fillRef>
        <a:effectRef idx="0">
          <a:scrgbClr r="0" g="0" b="0"/>
        </a:effectRef>
        <a:fontRef idx="minor">
          <a:schemeClr val="lt1"/>
        </a:fontRef>
      </dsp:style>
      <dsp:txBody>
        <a:bodyPr lIns="0" tIns="0" rIns="0" bIns="0" anchor="ctr"/>
        <a:lstStyle>
          <a:lvl1pPr algn="ctr">
            <a:defRPr sz="800"/>
          </a:lvl1pPr>
          <a:lvl2pPr marL="57150" indent="-57150" algn="ctr">
            <a:defRPr sz="600"/>
          </a:lvl2pPr>
          <a:lvl3pPr marL="114300" indent="-57150" algn="ctr">
            <a:defRPr sz="600"/>
          </a:lvl3pPr>
          <a:lvl4pPr marL="171450" indent="-57150" algn="ctr">
            <a:defRPr sz="600"/>
          </a:lvl4pPr>
          <a:lvl5pPr marL="228600" indent="-57150" algn="ctr">
            <a:defRPr sz="600"/>
          </a:lvl5pPr>
          <a:lvl6pPr marL="285750" indent="-57150" algn="ctr">
            <a:defRPr sz="600"/>
          </a:lvl6pPr>
          <a:lvl7pPr marL="342900" indent="-57150" algn="ctr">
            <a:defRPr sz="600"/>
          </a:lvl7pPr>
          <a:lvl8pPr marL="400050" indent="-57150" algn="ctr">
            <a:defRPr sz="600"/>
          </a:lvl8pPr>
          <a:lvl9pPr marL="457200" indent="-57150" algn="ctr">
            <a:defRPr sz="6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endParaRPr lang="zh-CN" altLang="en-US">
            <a:solidFill>
              <a:schemeClr val="dk1"/>
            </a:solidFill>
          </a:endParaRPr>
        </a:p>
      </dsp:txBody>
      <dsp:txXfrm>
        <a:off x="1012142" y="113243"/>
        <a:ext cx="196137" cy="229444"/>
      </dsp:txXfrm>
    </dsp:sp>
    <dsp:sp modelId="{552FB8E7-A5FB-4CC3-94C3-CE0BDF19F9F1}">
      <dsp:nvSpPr>
        <dsp:cNvPr id="5" name="圆角矩形 4"/>
        <dsp:cNvSpPr/>
      </dsp:nvSpPr>
      <dsp:spPr bwMode="white">
        <a:xfrm>
          <a:off x="1295246" y="0"/>
          <a:ext cx="925176" cy="455930"/>
        </a:xfrm>
        <a:prstGeom prst="roundRect">
          <a:avLst>
            <a:gd name="adj" fmla="val 10000"/>
          </a:avLst>
        </a:prstGeom>
      </dsp:spPr>
      <dsp:style>
        <a:lnRef idx="2">
          <a:schemeClr val="accent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vert="horz" wrap="square" lIns="53340" tIns="53340" rIns="53340" bIns="5334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线上</a:t>
          </a:r>
          <a:r>
            <a:rPr lang="zh-CN" altLang="en-US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测评</a:t>
          </a:r>
          <a:endParaRPr lang="zh-CN" altLang="en-US" sz="1400">
            <a:solidFill>
              <a:schemeClr val="dk1"/>
            </a:solidFill>
            <a:latin typeface="方正仿宋_GBK" panose="03000509000000000000" charset="-122"/>
            <a:ea typeface="方正仿宋_GBK" panose="03000509000000000000" charset="-122"/>
          </a:endParaRPr>
        </a:p>
      </dsp:txBody>
      <dsp:txXfrm>
        <a:off x="1295246" y="0"/>
        <a:ext cx="925176" cy="455930"/>
      </dsp:txXfrm>
    </dsp:sp>
    <dsp:sp modelId="{353C3794-50AA-4D44-83C9-CE28317C3317}">
      <dsp:nvSpPr>
        <dsp:cNvPr id="6" name="右箭头 5"/>
        <dsp:cNvSpPr/>
      </dsp:nvSpPr>
      <dsp:spPr bwMode="white">
        <a:xfrm>
          <a:off x="2307388" y="113243"/>
          <a:ext cx="196137" cy="229444"/>
        </a:xfrm>
        <a:prstGeom prst="rightArrow">
          <a:avLst>
            <a:gd name="adj1" fmla="val 60000"/>
            <a:gd name="adj2" fmla="val 50000"/>
          </a:avLst>
        </a:prstGeom>
      </dsp:spPr>
      <dsp:style>
        <a:lnRef idx="0">
          <a:schemeClr val="accent1">
            <a:tint val="60000"/>
          </a:schemeClr>
        </a:lnRef>
        <a:fillRef idx="1">
          <a:schemeClr val="accent1">
            <a:tint val="60000"/>
          </a:schemeClr>
        </a:fillRef>
        <a:effectRef idx="0">
          <a:scrgbClr r="0" g="0" b="0"/>
        </a:effectRef>
        <a:fontRef idx="minor">
          <a:schemeClr val="lt1"/>
        </a:fontRef>
      </dsp:style>
      <dsp:txBody>
        <a:bodyPr lIns="0" tIns="0" rIns="0" bIns="0" anchor="ctr"/>
        <a:lstStyle>
          <a:lvl1pPr algn="ctr">
            <a:defRPr sz="800"/>
          </a:lvl1pPr>
          <a:lvl2pPr marL="57150" indent="-57150" algn="ctr">
            <a:defRPr sz="600"/>
          </a:lvl2pPr>
          <a:lvl3pPr marL="114300" indent="-57150" algn="ctr">
            <a:defRPr sz="600"/>
          </a:lvl3pPr>
          <a:lvl4pPr marL="171450" indent="-57150" algn="ctr">
            <a:defRPr sz="600"/>
          </a:lvl4pPr>
          <a:lvl5pPr marL="228600" indent="-57150" algn="ctr">
            <a:defRPr sz="600"/>
          </a:lvl5pPr>
          <a:lvl6pPr marL="285750" indent="-57150" algn="ctr">
            <a:defRPr sz="600"/>
          </a:lvl6pPr>
          <a:lvl7pPr marL="342900" indent="-57150" algn="ctr">
            <a:defRPr sz="600"/>
          </a:lvl7pPr>
          <a:lvl8pPr marL="400050" indent="-57150" algn="ctr">
            <a:defRPr sz="600"/>
          </a:lvl8pPr>
          <a:lvl9pPr marL="457200" indent="-57150" algn="ctr">
            <a:defRPr sz="6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endParaRPr lang="zh-CN" altLang="en-US">
            <a:solidFill>
              <a:schemeClr val="dk1"/>
            </a:solidFill>
          </a:endParaRPr>
        </a:p>
      </dsp:txBody>
      <dsp:txXfrm>
        <a:off x="2307388" y="113243"/>
        <a:ext cx="196137" cy="229444"/>
      </dsp:txXfrm>
    </dsp:sp>
    <dsp:sp modelId="{A1E15D63-E1FF-4A28-A04F-A2B65927BC31}">
      <dsp:nvSpPr>
        <dsp:cNvPr id="7" name="圆角矩形 6"/>
        <dsp:cNvSpPr/>
      </dsp:nvSpPr>
      <dsp:spPr bwMode="white">
        <a:xfrm>
          <a:off x="2590492" y="0"/>
          <a:ext cx="925176" cy="455930"/>
        </a:xfrm>
        <a:prstGeom prst="roundRect">
          <a:avLst>
            <a:gd name="adj" fmla="val 10000"/>
          </a:avLst>
        </a:prstGeom>
      </dsp:spPr>
      <dsp:style>
        <a:lnRef idx="2">
          <a:schemeClr val="accent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vert="horz" wrap="square" lIns="53340" tIns="53340" rIns="53340" bIns="5334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altLang="en-US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简历</a:t>
          </a:r>
          <a:r>
            <a:rPr lang="zh-CN" altLang="en-US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筛选</a:t>
          </a:r>
          <a:endParaRPr lang="zh-CN" altLang="en-US" sz="1400">
            <a:solidFill>
              <a:schemeClr val="dk1"/>
            </a:solidFill>
            <a:latin typeface="方正仿宋_GBK" panose="03000509000000000000" charset="-122"/>
            <a:ea typeface="方正仿宋_GBK" panose="03000509000000000000" charset="-122"/>
          </a:endParaRPr>
        </a:p>
      </dsp:txBody>
      <dsp:txXfrm>
        <a:off x="2590492" y="0"/>
        <a:ext cx="925176" cy="455930"/>
      </dsp:txXfrm>
    </dsp:sp>
    <dsp:sp modelId="{12287E52-FD0D-4D7F-8CE9-E5BBB15ACFF9}">
      <dsp:nvSpPr>
        <dsp:cNvPr id="8" name="右箭头 7"/>
        <dsp:cNvSpPr/>
      </dsp:nvSpPr>
      <dsp:spPr bwMode="white">
        <a:xfrm>
          <a:off x="3602634" y="113243"/>
          <a:ext cx="196137" cy="229444"/>
        </a:xfrm>
        <a:prstGeom prst="rightArrow">
          <a:avLst>
            <a:gd name="adj1" fmla="val 60000"/>
            <a:gd name="adj2" fmla="val 50000"/>
          </a:avLst>
        </a:prstGeom>
      </dsp:spPr>
      <dsp:style>
        <a:lnRef idx="0">
          <a:schemeClr val="accent1">
            <a:tint val="60000"/>
          </a:schemeClr>
        </a:lnRef>
        <a:fillRef idx="1">
          <a:schemeClr val="accent1">
            <a:tint val="60000"/>
          </a:schemeClr>
        </a:fillRef>
        <a:effectRef idx="0">
          <a:scrgbClr r="0" g="0" b="0"/>
        </a:effectRef>
        <a:fontRef idx="minor">
          <a:schemeClr val="lt1"/>
        </a:fontRef>
      </dsp:style>
      <dsp:txBody>
        <a:bodyPr lIns="0" tIns="0" rIns="0" bIns="0" anchor="ctr"/>
        <a:lstStyle>
          <a:lvl1pPr algn="ctr">
            <a:defRPr sz="800"/>
          </a:lvl1pPr>
          <a:lvl2pPr marL="57150" indent="-57150" algn="ctr">
            <a:defRPr sz="600"/>
          </a:lvl2pPr>
          <a:lvl3pPr marL="114300" indent="-57150" algn="ctr">
            <a:defRPr sz="600"/>
          </a:lvl3pPr>
          <a:lvl4pPr marL="171450" indent="-57150" algn="ctr">
            <a:defRPr sz="600"/>
          </a:lvl4pPr>
          <a:lvl5pPr marL="228600" indent="-57150" algn="ctr">
            <a:defRPr sz="600"/>
          </a:lvl5pPr>
          <a:lvl6pPr marL="285750" indent="-57150" algn="ctr">
            <a:defRPr sz="600"/>
          </a:lvl6pPr>
          <a:lvl7pPr marL="342900" indent="-57150" algn="ctr">
            <a:defRPr sz="600"/>
          </a:lvl7pPr>
          <a:lvl8pPr marL="400050" indent="-57150" algn="ctr">
            <a:defRPr sz="600"/>
          </a:lvl8pPr>
          <a:lvl9pPr marL="457200" indent="-57150" algn="ctr">
            <a:defRPr sz="6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endParaRPr>
            <a:solidFill>
              <a:schemeClr val="dk1"/>
            </a:solidFill>
          </a:endParaRPr>
        </a:p>
      </dsp:txBody>
      <dsp:txXfrm>
        <a:off x="3602634" y="113243"/>
        <a:ext cx="196137" cy="229444"/>
      </dsp:txXfrm>
    </dsp:sp>
    <dsp:sp modelId="{6195D1E5-C15A-41EF-866B-16D642BB1875}">
      <dsp:nvSpPr>
        <dsp:cNvPr id="9" name="圆角矩形 8"/>
        <dsp:cNvSpPr/>
      </dsp:nvSpPr>
      <dsp:spPr bwMode="white">
        <a:xfrm>
          <a:off x="3885738" y="0"/>
          <a:ext cx="925176" cy="455930"/>
        </a:xfrm>
        <a:prstGeom prst="roundRect">
          <a:avLst>
            <a:gd name="adj" fmla="val 10000"/>
          </a:avLst>
        </a:prstGeom>
      </dsp:spPr>
      <dsp:style>
        <a:lnRef idx="2">
          <a:schemeClr val="accent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vert="horz" wrap="square" lIns="53340" tIns="53340" rIns="53340" bIns="5334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zh-CN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面试</a:t>
          </a:r>
          <a:r>
            <a:rPr lang="zh-CN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</a:rPr>
            <a:t>评估</a:t>
          </a:r>
          <a:endParaRPr altLang="en-US" sz="1400">
            <a:solidFill>
              <a:schemeClr val="dk1"/>
            </a:solidFill>
            <a:latin typeface="方正仿宋_GBK" panose="03000509000000000000" charset="-122"/>
            <a:ea typeface="方正仿宋_GBK" panose="03000509000000000000" charset="-122"/>
          </a:endParaRPr>
        </a:p>
      </dsp:txBody>
      <dsp:txXfrm>
        <a:off x="3885738" y="0"/>
        <a:ext cx="925176" cy="455930"/>
      </dsp:txXfrm>
    </dsp:sp>
    <dsp:sp modelId="{D809D5BD-96AA-4B4D-853A-2BE104390A6F}">
      <dsp:nvSpPr>
        <dsp:cNvPr id="10" name="右箭头 9"/>
        <dsp:cNvSpPr/>
      </dsp:nvSpPr>
      <dsp:spPr bwMode="white">
        <a:xfrm>
          <a:off x="4897880" y="113243"/>
          <a:ext cx="196137" cy="229444"/>
        </a:xfrm>
        <a:prstGeom prst="rightArrow">
          <a:avLst>
            <a:gd name="adj1" fmla="val 60000"/>
            <a:gd name="adj2" fmla="val 50000"/>
          </a:avLst>
        </a:prstGeom>
      </dsp:spPr>
      <dsp:style>
        <a:lnRef idx="0">
          <a:schemeClr val="accent1">
            <a:tint val="60000"/>
          </a:schemeClr>
        </a:lnRef>
        <a:fillRef idx="1">
          <a:schemeClr val="accent1">
            <a:tint val="60000"/>
          </a:schemeClr>
        </a:fillRef>
        <a:effectRef idx="0">
          <a:scrgbClr r="0" g="0" b="0"/>
        </a:effectRef>
        <a:fontRef idx="minor">
          <a:schemeClr val="lt1"/>
        </a:fontRef>
      </dsp:style>
      <dsp:txBody>
        <a:bodyPr lIns="0" tIns="0" rIns="0" bIns="0" anchor="ctr"/>
        <a:lstStyle>
          <a:lvl1pPr algn="ctr">
            <a:defRPr sz="800"/>
          </a:lvl1pPr>
          <a:lvl2pPr marL="57150" indent="-57150" algn="ctr">
            <a:defRPr sz="600"/>
          </a:lvl2pPr>
          <a:lvl3pPr marL="114300" indent="-57150" algn="ctr">
            <a:defRPr sz="600"/>
          </a:lvl3pPr>
          <a:lvl4pPr marL="171450" indent="-57150" algn="ctr">
            <a:defRPr sz="600"/>
          </a:lvl4pPr>
          <a:lvl5pPr marL="228600" indent="-57150" algn="ctr">
            <a:defRPr sz="600"/>
          </a:lvl5pPr>
          <a:lvl6pPr marL="285750" indent="-57150" algn="ctr">
            <a:defRPr sz="600"/>
          </a:lvl6pPr>
          <a:lvl7pPr marL="342900" indent="-57150" algn="ctr">
            <a:defRPr sz="600"/>
          </a:lvl7pPr>
          <a:lvl8pPr marL="400050" indent="-57150" algn="ctr">
            <a:defRPr sz="600"/>
          </a:lvl8pPr>
          <a:lvl9pPr marL="457200" indent="-57150" algn="ctr">
            <a:defRPr sz="6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endParaRPr>
            <a:solidFill>
              <a:schemeClr val="dk1"/>
            </a:solidFill>
          </a:endParaRPr>
        </a:p>
      </dsp:txBody>
      <dsp:txXfrm>
        <a:off x="4897880" y="113243"/>
        <a:ext cx="196137" cy="229444"/>
      </dsp:txXfrm>
    </dsp:sp>
    <dsp:sp modelId="{49FD0E0F-BE93-484F-9EF6-FCD4BD701693}">
      <dsp:nvSpPr>
        <dsp:cNvPr id="11" name="圆角矩形 10"/>
        <dsp:cNvSpPr/>
      </dsp:nvSpPr>
      <dsp:spPr bwMode="white">
        <a:xfrm>
          <a:off x="5180984" y="0"/>
          <a:ext cx="925176" cy="455930"/>
        </a:xfrm>
        <a:prstGeom prst="roundRect">
          <a:avLst>
            <a:gd name="adj" fmla="val 10000"/>
          </a:avLst>
        </a:prstGeom>
      </dsp:spPr>
      <dsp:style>
        <a:lnRef idx="2">
          <a:schemeClr val="accent1">
            <a:shade val="80000"/>
          </a:schemeClr>
        </a:lnRef>
        <a:fillRef idx="1">
          <a:schemeClr val="lt1"/>
        </a:fillRef>
        <a:effectRef idx="0">
          <a:scrgbClr r="0" g="0" b="0"/>
        </a:effectRef>
        <a:fontRef idx="minor">
          <a:schemeClr val="lt1"/>
        </a:fontRef>
      </dsp:style>
      <dsp:txBody>
        <a:bodyPr vert="horz" wrap="square" lIns="53340" tIns="53340" rIns="53340" bIns="53340" anchor="ctr"/>
        <a:lstStyle>
          <a:lvl1pPr algn="ctr">
            <a:defRPr sz="6500"/>
          </a:lvl1pPr>
          <a:lvl2pPr marL="285750" indent="-285750" algn="ctr">
            <a:defRPr sz="5000"/>
          </a:lvl2pPr>
          <a:lvl3pPr marL="571500" indent="-285750" algn="ctr">
            <a:defRPr sz="5000"/>
          </a:lvl3pPr>
          <a:lvl4pPr marL="857250" indent="-285750" algn="ctr">
            <a:defRPr sz="5000"/>
          </a:lvl4pPr>
          <a:lvl5pPr marL="1143000" indent="-285750" algn="ctr">
            <a:defRPr sz="5000"/>
          </a:lvl5pPr>
          <a:lvl6pPr marL="1428750" indent="-285750" algn="ctr">
            <a:defRPr sz="5000"/>
          </a:lvl6pPr>
          <a:lvl7pPr marL="1714500" indent="-285750" algn="ctr">
            <a:defRPr sz="5000"/>
          </a:lvl7pPr>
          <a:lvl8pPr marL="2000250" indent="-285750" algn="ctr">
            <a:defRPr sz="5000"/>
          </a:lvl8pPr>
          <a:lvl9pPr marL="2286000" indent="-285750" algn="ctr">
            <a:defRPr sz="5000"/>
          </a:lvl9pPr>
        </a:lstStyle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发放</a:t>
          </a:r>
          <a:r>
            <a:rPr lang="en-US" altLang="zh-CN" sz="14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offer</a:t>
          </a:r>
          <a:endParaRPr lang="zh-CN" sz="1400">
            <a:solidFill>
              <a:schemeClr val="dk1"/>
            </a:solidFill>
            <a:latin typeface="方正仿宋_GBK" panose="03000509000000000000" charset="-122"/>
            <a:ea typeface="方正仿宋_GBK" panose="03000509000000000000" charset="-122"/>
            <a:cs typeface="方正仿宋_GBK" panose="03000509000000000000" charset="-122"/>
          </a:endParaRPr>
        </a:p>
        <a:p>
          <a:pPr lvl="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en-US" altLang="zh-CN" sz="10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（</a:t>
          </a:r>
          <a:r>
            <a:rPr lang="zh-CN" sz="10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三方</a:t>
          </a:r>
          <a:r>
            <a:rPr lang="zh-CN" sz="10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签订</a:t>
          </a:r>
          <a:r>
            <a:rPr lang="en-US" altLang="zh-CN" sz="1000">
              <a:solidFill>
                <a:schemeClr val="dk1"/>
              </a:solidFill>
              <a:latin typeface="方正仿宋_GBK" panose="03000509000000000000" charset="-122"/>
              <a:ea typeface="方正仿宋_GBK" panose="03000509000000000000" charset="-122"/>
              <a:cs typeface="方正仿宋_GBK" panose="03000509000000000000" charset="-122"/>
            </a:rPr>
            <a:t>）</a:t>
          </a:r>
          <a:endParaRPr lang="en-US" altLang="zh-CN" sz="1000">
            <a:solidFill>
              <a:schemeClr val="dk1"/>
            </a:solidFill>
            <a:latin typeface="方正仿宋_GBK" panose="03000509000000000000" charset="-122"/>
            <a:ea typeface="方正仿宋_GBK" panose="03000509000000000000" charset="-122"/>
            <a:cs typeface="方正仿宋_GBK" panose="03000509000000000000" charset="-122"/>
          </a:endParaRPr>
        </a:p>
      </dsp:txBody>
      <dsp:txXfrm>
        <a:off x="5180984" y="0"/>
        <a:ext cx="925176" cy="4559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787</Words>
  <Characters>827</Characters>
  <Lines>0</Lines>
  <Paragraphs>0</Paragraphs>
  <TotalTime>60</TotalTime>
  <ScaleCrop>false</ScaleCrop>
  <LinksUpToDate>false</LinksUpToDate>
  <CharactersWithSpaces>828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2025-09-06T17:28:00Z</dcterms:created>
  <dc:creator>胖头鱼</dc:creator>
  <cp:lastModifiedBy>组发_艾松</cp:lastModifiedBy>
  <dcterms:modified xsi:type="dcterms:W3CDTF">2026-09-10T03:07:16Z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C51E8F300DD9C3394E659E6A93FA6F90_43</vt:lpwstr>
  </property>
  <property fmtid="{D5CDD505-2E9C-101B-9397-08002B2CF9AE}" pid="4" name="KSOTemplateDocerSaveRecord">
    <vt:lpwstr>eyJoZGlkIjoiOTUzYWYzZTQ0NDIwNTkzOGQyZDBkMzdhNGIyYTRhMjAiLCJ1c2VySWQiOiIxNjkyNDcwMjE4In0=</vt:lpwstr>
  </property>
</Properties>
</file>