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CF58E">
      <w:pPr>
        <w:spacing w:line="400" w:lineRule="exact"/>
        <w:jc w:val="center"/>
        <w:rPr>
          <w:rFonts w:ascii="微软雅黑" w:hAnsi="微软雅黑" w:eastAsia="微软雅黑" w:cs="幼圆"/>
          <w:b/>
          <w:bCs/>
          <w:sz w:val="28"/>
          <w:szCs w:val="28"/>
        </w:rPr>
      </w:pPr>
      <w:bookmarkStart w:id="22" w:name="_GoBack"/>
      <w:bookmarkEnd w:id="22"/>
      <w:r>
        <w:rPr>
          <w:rFonts w:hint="eastAsia" w:ascii="微软雅黑" w:hAnsi="微软雅黑" w:eastAsia="微软雅黑" w:cs="幼圆"/>
          <w:b/>
          <w:bCs/>
          <w:sz w:val="28"/>
          <w:szCs w:val="28"/>
        </w:rPr>
        <w:t>乘世而上，茂帆启航</w:t>
      </w:r>
    </w:p>
    <w:p w14:paraId="458D02E1">
      <w:pPr>
        <w:spacing w:line="400" w:lineRule="exact"/>
        <w:jc w:val="center"/>
        <w:rPr>
          <w:rFonts w:ascii="微软雅黑" w:hAnsi="微软雅黑" w:eastAsia="微软雅黑" w:cs="幼圆"/>
          <w:b/>
          <w:bCs/>
          <w:sz w:val="28"/>
          <w:szCs w:val="28"/>
        </w:rPr>
      </w:pPr>
      <w:r>
        <w:rPr>
          <w:rFonts w:hint="eastAsia" w:ascii="微软雅黑" w:hAnsi="微软雅黑" w:eastAsia="微软雅黑" w:cs="幼圆"/>
          <w:b/>
          <w:bCs/>
          <w:sz w:val="28"/>
          <w:szCs w:val="28"/>
        </w:rPr>
        <w:t>世茂服务2</w:t>
      </w:r>
      <w:r>
        <w:rPr>
          <w:rFonts w:ascii="微软雅黑" w:hAnsi="微软雅黑" w:eastAsia="微软雅黑" w:cs="幼圆"/>
          <w:b/>
          <w:bCs/>
          <w:sz w:val="28"/>
          <w:szCs w:val="28"/>
        </w:rPr>
        <w:t>026届</w:t>
      </w:r>
      <w:r>
        <w:rPr>
          <w:rFonts w:hint="eastAsia" w:ascii="微软雅黑" w:hAnsi="微软雅黑" w:eastAsia="微软雅黑" w:cs="幼圆"/>
          <w:b/>
          <w:bCs/>
          <w:sz w:val="28"/>
          <w:szCs w:val="28"/>
        </w:rPr>
        <w:t>“新世力”校园</w:t>
      </w:r>
      <w:r>
        <w:rPr>
          <w:rFonts w:ascii="微软雅黑" w:hAnsi="微软雅黑" w:eastAsia="微软雅黑" w:cs="幼圆"/>
          <w:b/>
          <w:bCs/>
          <w:sz w:val="28"/>
          <w:szCs w:val="28"/>
        </w:rPr>
        <w:t>招聘</w:t>
      </w:r>
    </w:p>
    <w:p w14:paraId="79507233">
      <w:pPr>
        <w:spacing w:before="312" w:beforeLines="100" w:after="156" w:afterLines="50" w:line="400" w:lineRule="exact"/>
        <w:jc w:val="left"/>
        <w:rPr>
          <w:rFonts w:ascii="微软雅黑" w:hAnsi="微软雅黑" w:eastAsia="微软雅黑" w:cs="Times New Roman"/>
          <w:b/>
          <w:bCs/>
          <w:sz w:val="22"/>
          <w:szCs w:val="21"/>
        </w:rPr>
      </w:pPr>
      <w:r>
        <w:rPr>
          <w:rFonts w:hint="eastAsia" w:ascii="微软雅黑" w:hAnsi="微软雅黑" w:eastAsia="微软雅黑" w:cs="Times New Roman"/>
          <w:b/>
          <w:bCs/>
          <w:sz w:val="22"/>
          <w:szCs w:val="21"/>
        </w:rPr>
        <w:t>一、公司简介</w:t>
      </w:r>
    </w:p>
    <w:p w14:paraId="3EE8AED8">
      <w:pPr>
        <w:pStyle w:val="17"/>
        <w:spacing w:line="400" w:lineRule="exact"/>
        <w:ind w:left="420" w:firstLine="400"/>
        <w:jc w:val="left"/>
        <w:rPr>
          <w:rFonts w:ascii="微软雅黑" w:hAnsi="微软雅黑" w:eastAsia="微软雅黑" w:cs="Times New Roman"/>
          <w:bCs/>
          <w:sz w:val="20"/>
          <w:szCs w:val="21"/>
        </w:rPr>
      </w:pPr>
      <w:r>
        <w:rPr>
          <w:rFonts w:hint="eastAsia" w:ascii="微软雅黑" w:hAnsi="微软雅黑" w:eastAsia="微软雅黑" w:cs="Times New Roman"/>
          <w:bCs/>
          <w:sz w:val="20"/>
          <w:szCs w:val="21"/>
        </w:rPr>
        <w:t>世茂服务控股有限公司(00873.HK)是中国领先的综合物业管理及社区生活服务提供商，于2020年10月在香港联合交易所成功挂牌上市。经过多年发展、以及不断深耕，业务已涵盖 住宅、学校、医院、政府后勤、产业园、交通枢纽等多元城市空间，并以优质服务获得行业、媒体、业主与用户广泛认可。</w:t>
      </w:r>
    </w:p>
    <w:p w14:paraId="772FE32B">
      <w:pPr>
        <w:pStyle w:val="17"/>
        <w:spacing w:line="400" w:lineRule="exact"/>
        <w:ind w:left="420" w:firstLine="400"/>
        <w:jc w:val="left"/>
        <w:rPr>
          <w:rFonts w:ascii="微软雅黑" w:hAnsi="微软雅黑" w:eastAsia="微软雅黑" w:cs="Times New Roman"/>
          <w:bCs/>
          <w:sz w:val="20"/>
          <w:szCs w:val="21"/>
        </w:rPr>
      </w:pPr>
      <w:r>
        <w:rPr>
          <w:rFonts w:hint="eastAsia" w:ascii="微软雅黑" w:hAnsi="微软雅黑" w:eastAsia="微软雅黑" w:cs="Times New Roman"/>
          <w:bCs/>
          <w:sz w:val="20"/>
          <w:szCs w:val="21"/>
        </w:rPr>
        <w:t>世茂服务愿与政府、行业、合作伙伴业主员工携手，不断优化服务产业全链条价值致力于成为中国领先的城市全场景生活服务</w:t>
      </w:r>
      <w:bookmarkStart w:id="0" w:name="OLE_LINK20"/>
      <w:bookmarkStart w:id="1" w:name="OLE_LINK21"/>
      <w:r>
        <w:rPr>
          <w:rFonts w:hint="eastAsia" w:ascii="微软雅黑" w:hAnsi="微软雅黑" w:eastAsia="微软雅黑" w:cs="Times New Roman"/>
          <w:bCs/>
          <w:sz w:val="20"/>
          <w:szCs w:val="21"/>
        </w:rPr>
        <w:t>。</w:t>
      </w:r>
    </w:p>
    <w:p w14:paraId="391E5E20">
      <w:pPr>
        <w:spacing w:line="400" w:lineRule="exact"/>
        <w:jc w:val="left"/>
        <w:rPr>
          <w:rFonts w:ascii="微软雅黑" w:hAnsi="微软雅黑" w:eastAsia="微软雅黑" w:cs="Times New Roman"/>
          <w:bCs/>
          <w:sz w:val="20"/>
          <w:szCs w:val="21"/>
        </w:rPr>
      </w:pPr>
      <w:r>
        <w:rPr>
          <w:rFonts w:hint="eastAsia" w:ascii="微软雅黑" w:hAnsi="微软雅黑" w:eastAsia="微软雅黑" w:cs="Times New Roman"/>
          <w:b/>
          <w:bCs/>
          <w:sz w:val="22"/>
          <w:szCs w:val="21"/>
        </w:rPr>
        <w:t>二</w:t>
      </w:r>
      <w:bookmarkEnd w:id="0"/>
      <w:bookmarkEnd w:id="1"/>
      <w:r>
        <w:rPr>
          <w:rFonts w:hint="eastAsia" w:ascii="微软雅黑" w:hAnsi="微软雅黑" w:eastAsia="微软雅黑" w:cs="Times New Roman"/>
          <w:b/>
          <w:bCs/>
          <w:sz w:val="22"/>
          <w:szCs w:val="21"/>
        </w:rPr>
        <w:t>、</w:t>
      </w:r>
      <w:bookmarkStart w:id="2" w:name="OLE_LINK16"/>
      <w:bookmarkStart w:id="3" w:name="OLE_LINK1"/>
      <w:r>
        <w:rPr>
          <w:rFonts w:hint="eastAsia" w:ascii="微软雅黑" w:hAnsi="微软雅黑" w:eastAsia="微软雅黑" w:cs="幼圆"/>
          <w:b/>
          <w:bCs/>
          <w:sz w:val="22"/>
        </w:rPr>
        <w:t>校园招聘项目介绍</w:t>
      </w:r>
    </w:p>
    <w:p w14:paraId="3F3301E4">
      <w:pPr>
        <w:spacing w:line="400" w:lineRule="exact"/>
        <w:ind w:firstLine="380" w:firstLineChars="190"/>
        <w:jc w:val="left"/>
        <w:rPr>
          <w:rFonts w:ascii="微软雅黑" w:hAnsi="微软雅黑" w:eastAsia="微软雅黑" w:cs="Times New Roman"/>
          <w:bCs/>
          <w:sz w:val="20"/>
          <w:szCs w:val="21"/>
        </w:rPr>
      </w:pPr>
    </w:p>
    <w:p w14:paraId="734CC9B6">
      <w:pPr>
        <w:widowControl/>
        <w:spacing w:line="0" w:lineRule="atLeast"/>
        <w:ind w:firstLine="210" w:firstLineChars="100"/>
        <w:jc w:val="left"/>
        <w:rPr>
          <w:rFonts w:ascii="微软雅黑" w:hAnsi="微软雅黑" w:eastAsia="微软雅黑" w:cs="宋体"/>
          <w:kern w:val="0"/>
          <w:szCs w:val="21"/>
        </w:rPr>
      </w:pPr>
      <w:r>
        <w:rPr>
          <w:rFonts w:hint="eastAsia" w:ascii="微软雅黑" w:hAnsi="微软雅黑" w:eastAsia="微软雅黑" w:cs="宋体"/>
          <w:kern w:val="0"/>
          <w:szCs w:val="21"/>
        </w:rPr>
        <w:t>“新世力”面向全国本科高校招募高素质、高潜力人才，针对项目管理、职能管理类人才的战略性培养计划，输出优秀的项目单元及职能模块的管理人才。</w:t>
      </w:r>
    </w:p>
    <w:p w14:paraId="36A12011">
      <w:pPr>
        <w:widowControl/>
        <w:spacing w:line="0" w:lineRule="atLeast"/>
        <w:jc w:val="left"/>
        <w:rPr>
          <w:rFonts w:ascii="微软雅黑" w:hAnsi="微软雅黑" w:eastAsia="微软雅黑" w:cs="宋体"/>
          <w:b/>
          <w:kern w:val="0"/>
        </w:rPr>
      </w:pPr>
      <w:r>
        <w:rPr>
          <w:rFonts w:hint="eastAsia" w:ascii="微软雅黑" w:hAnsi="微软雅黑" w:eastAsia="微软雅黑" w:cs="宋体"/>
          <w:b/>
          <w:kern w:val="0"/>
        </w:rPr>
        <w:t>发展优势：</w:t>
      </w:r>
    </w:p>
    <w:p w14:paraId="6C2D9B84">
      <w:pPr>
        <w:widowControl/>
        <w:spacing w:line="0" w:lineRule="atLeast"/>
        <w:ind w:firstLine="210" w:firstLineChars="100"/>
        <w:jc w:val="left"/>
        <w:rPr>
          <w:rFonts w:ascii="微软雅黑" w:hAnsi="微软雅黑" w:eastAsia="微软雅黑" w:cs="宋体"/>
          <w:b/>
          <w:kern w:val="0"/>
          <w:szCs w:val="21"/>
        </w:rPr>
      </w:pPr>
      <w:r>
        <w:rPr>
          <w:rFonts w:hint="eastAsia" w:ascii="微软雅黑" w:hAnsi="微软雅黑" w:eastAsia="微软雅黑" w:cs="宋体"/>
          <w:kern w:val="0"/>
          <w:szCs w:val="21"/>
        </w:rPr>
        <w:t>大平台</w:t>
      </w:r>
      <w:r>
        <w:rPr>
          <w:rFonts w:hint="eastAsia" w:ascii="微软雅黑" w:hAnsi="微软雅黑" w:eastAsia="微软雅黑" w:cs="宋体"/>
          <w:b/>
          <w:kern w:val="0"/>
          <w:szCs w:val="21"/>
        </w:rPr>
        <w:t>：</w:t>
      </w:r>
      <w:r>
        <w:rPr>
          <w:rFonts w:hint="eastAsia" w:ascii="微软雅黑" w:hAnsi="微软雅黑" w:eastAsia="微软雅黑" w:cs="宋体"/>
          <w:kern w:val="0"/>
          <w:szCs w:val="21"/>
        </w:rPr>
        <w:t>强品牌底蕴</w:t>
      </w:r>
    </w:p>
    <w:p w14:paraId="60CFB715">
      <w:pPr>
        <w:widowControl/>
        <w:spacing w:line="0" w:lineRule="atLeast"/>
        <w:ind w:firstLine="210" w:firstLineChars="100"/>
        <w:jc w:val="left"/>
        <w:rPr>
          <w:rFonts w:ascii="微软雅黑" w:hAnsi="微软雅黑" w:eastAsia="微软雅黑" w:cs="宋体"/>
          <w:kern w:val="0"/>
          <w:szCs w:val="21"/>
        </w:rPr>
      </w:pPr>
      <w:r>
        <w:rPr>
          <w:rFonts w:hint="eastAsia" w:ascii="微软雅黑" w:hAnsi="微软雅黑" w:eastAsia="微软雅黑" w:cs="宋体"/>
          <w:kern w:val="0"/>
          <w:szCs w:val="21"/>
        </w:rPr>
        <w:t>快发展：校招绿色通道</w:t>
      </w:r>
    </w:p>
    <w:p w14:paraId="0FBAEA7C">
      <w:pPr>
        <w:widowControl/>
        <w:spacing w:line="0" w:lineRule="atLeast"/>
        <w:ind w:firstLine="210" w:firstLineChars="100"/>
        <w:jc w:val="left"/>
        <w:rPr>
          <w:rFonts w:ascii="微软雅黑" w:hAnsi="微软雅黑" w:eastAsia="微软雅黑" w:cs="宋体"/>
          <w:kern w:val="0"/>
          <w:szCs w:val="21"/>
        </w:rPr>
      </w:pPr>
      <w:r>
        <w:rPr>
          <w:rFonts w:hint="eastAsia" w:ascii="微软雅黑" w:hAnsi="微软雅黑" w:eastAsia="微软雅黑" w:cs="宋体"/>
          <w:kern w:val="0"/>
          <w:szCs w:val="21"/>
        </w:rPr>
        <w:t>重文化：开放包容人性化</w:t>
      </w:r>
    </w:p>
    <w:p w14:paraId="246DA733">
      <w:pPr>
        <w:widowControl/>
        <w:spacing w:line="0" w:lineRule="atLeast"/>
        <w:ind w:firstLine="210" w:firstLineChars="100"/>
        <w:jc w:val="left"/>
        <w:rPr>
          <w:rFonts w:ascii="微软雅黑" w:hAnsi="微软雅黑" w:eastAsia="微软雅黑" w:cs="宋体"/>
          <w:kern w:val="0"/>
          <w:szCs w:val="21"/>
        </w:rPr>
      </w:pPr>
      <w:r>
        <w:rPr>
          <w:rFonts w:hint="eastAsia" w:ascii="微软雅黑" w:hAnsi="微软雅黑" w:eastAsia="微软雅黑" w:cs="宋体"/>
          <w:kern w:val="0"/>
          <w:szCs w:val="21"/>
        </w:rPr>
        <w:t>强培养：人才晋升高效能</w:t>
      </w:r>
    </w:p>
    <w:p w14:paraId="050B70A4">
      <w:pPr>
        <w:widowControl/>
        <w:spacing w:line="0" w:lineRule="atLeast"/>
        <w:rPr>
          <w:rFonts w:ascii="微软雅黑" w:hAnsi="微软雅黑" w:eastAsia="微软雅黑" w:cs="宋体"/>
          <w:b/>
          <w:bCs/>
          <w:color w:val="000000"/>
          <w:kern w:val="0"/>
        </w:rPr>
      </w:pPr>
      <w:r>
        <w:rPr>
          <w:rFonts w:hint="eastAsia" w:ascii="微软雅黑" w:hAnsi="微软雅黑" w:eastAsia="微软雅黑" w:cs="宋体"/>
          <w:b/>
          <w:bCs/>
          <w:color w:val="000000"/>
          <w:kern w:val="0"/>
        </w:rPr>
        <w:t>培养路径：</w:t>
      </w:r>
    </w:p>
    <w:p w14:paraId="76395A78">
      <w:pPr>
        <w:widowControl/>
        <w:spacing w:line="0" w:lineRule="atLeast"/>
        <w:ind w:firstLine="210" w:firstLineChars="100"/>
        <w:jc w:val="left"/>
        <w:rPr>
          <w:rFonts w:ascii="微软雅黑" w:hAnsi="微软雅黑" w:eastAsia="微软雅黑"/>
          <w:b/>
          <w:szCs w:val="21"/>
        </w:rPr>
      </w:pPr>
      <w:r>
        <w:rPr>
          <w:rFonts w:hint="eastAsia" w:ascii="微软雅黑" w:hAnsi="微软雅黑" w:eastAsia="微软雅黑"/>
          <w:b/>
          <w:szCs w:val="21"/>
        </w:rPr>
        <w:t>业务序列</w:t>
      </w:r>
    </w:p>
    <w:p w14:paraId="597D5FB1">
      <w:pPr>
        <w:widowControl/>
        <w:spacing w:line="0" w:lineRule="atLeast"/>
        <w:rPr>
          <w:rFonts w:ascii="微软雅黑" w:hAnsi="微软雅黑" w:eastAsia="微软雅黑"/>
          <w:szCs w:val="21"/>
        </w:rPr>
      </w:pPr>
      <w:bookmarkStart w:id="4" w:name="OLE_LINK35"/>
      <w:r>
        <w:rPr>
          <w:rFonts w:hint="eastAsia" w:ascii="微软雅黑" w:hAnsi="微软雅黑" w:eastAsia="微软雅黑"/>
          <w:szCs w:val="21"/>
        </w:rPr>
        <w:t>实习期-----岗位实习</w:t>
      </w:r>
    </w:p>
    <w:p w14:paraId="0FED9103">
      <w:pPr>
        <w:widowControl/>
        <w:spacing w:line="0" w:lineRule="atLeast"/>
        <w:rPr>
          <w:rFonts w:ascii="微软雅黑" w:hAnsi="微软雅黑" w:eastAsia="微软雅黑"/>
          <w:szCs w:val="21"/>
        </w:rPr>
      </w:pPr>
      <w:r>
        <w:rPr>
          <w:rFonts w:hint="eastAsia" w:ascii="微软雅黑" w:hAnsi="微软雅黑" w:eastAsia="微软雅黑"/>
          <w:szCs w:val="21"/>
        </w:rPr>
        <w:t>一年期-----基层骨干</w:t>
      </w:r>
    </w:p>
    <w:p w14:paraId="2EC2318A">
      <w:pPr>
        <w:widowControl/>
        <w:spacing w:line="0" w:lineRule="atLeast"/>
        <w:rPr>
          <w:rFonts w:ascii="微软雅黑" w:hAnsi="微软雅黑" w:eastAsia="微软雅黑"/>
          <w:szCs w:val="21"/>
        </w:rPr>
      </w:pPr>
      <w:r>
        <w:rPr>
          <w:rFonts w:hint="eastAsia" w:ascii="微软雅黑" w:hAnsi="微软雅黑" w:eastAsia="微软雅黑"/>
          <w:szCs w:val="21"/>
        </w:rPr>
        <w:t>两年期-----一线管理&amp;项目管理</w:t>
      </w:r>
    </w:p>
    <w:p w14:paraId="420A6F6D">
      <w:pPr>
        <w:widowControl/>
        <w:spacing w:line="0" w:lineRule="atLeast"/>
        <w:rPr>
          <w:rFonts w:ascii="微软雅黑" w:hAnsi="微软雅黑" w:eastAsia="微软雅黑"/>
          <w:szCs w:val="21"/>
        </w:rPr>
      </w:pPr>
      <w:r>
        <w:rPr>
          <w:rFonts w:hint="eastAsia" w:ascii="微软雅黑" w:hAnsi="微软雅黑" w:eastAsia="微软雅黑"/>
          <w:szCs w:val="21"/>
        </w:rPr>
        <w:t>三年期-----项目管理&amp;模块管理</w:t>
      </w:r>
    </w:p>
    <w:bookmarkEnd w:id="4"/>
    <w:p w14:paraId="4123D8FA">
      <w:pPr>
        <w:widowControl/>
        <w:spacing w:line="0" w:lineRule="atLeast"/>
        <w:ind w:firstLine="210" w:firstLineChars="100"/>
        <w:rPr>
          <w:rFonts w:ascii="微软雅黑" w:hAnsi="微软雅黑" w:eastAsia="微软雅黑"/>
          <w:b/>
          <w:szCs w:val="21"/>
        </w:rPr>
      </w:pPr>
      <w:r>
        <w:rPr>
          <w:rFonts w:hint="eastAsia" w:ascii="微软雅黑" w:hAnsi="微软雅黑" w:eastAsia="微软雅黑"/>
          <w:b/>
          <w:szCs w:val="21"/>
        </w:rPr>
        <w:t>职能序列</w:t>
      </w:r>
    </w:p>
    <w:p w14:paraId="58AEF74E">
      <w:pPr>
        <w:widowControl/>
        <w:spacing w:line="0" w:lineRule="atLeast"/>
        <w:rPr>
          <w:rFonts w:ascii="微软雅黑" w:hAnsi="微软雅黑" w:eastAsia="微软雅黑"/>
          <w:szCs w:val="21"/>
        </w:rPr>
      </w:pPr>
      <w:r>
        <w:rPr>
          <w:rFonts w:hint="eastAsia" w:ascii="微软雅黑" w:hAnsi="微软雅黑" w:eastAsia="微软雅黑"/>
          <w:szCs w:val="21"/>
        </w:rPr>
        <w:t>实习期-----岗位实习</w:t>
      </w:r>
    </w:p>
    <w:p w14:paraId="46F4DB1C">
      <w:pPr>
        <w:widowControl/>
        <w:spacing w:line="0" w:lineRule="atLeast"/>
        <w:rPr>
          <w:rFonts w:ascii="微软雅黑" w:hAnsi="微软雅黑" w:eastAsia="微软雅黑"/>
          <w:szCs w:val="21"/>
        </w:rPr>
      </w:pPr>
      <w:r>
        <w:rPr>
          <w:rFonts w:hint="eastAsia" w:ascii="微软雅黑" w:hAnsi="微软雅黑" w:eastAsia="微软雅黑"/>
          <w:szCs w:val="21"/>
        </w:rPr>
        <w:t>一年期-----职能新星</w:t>
      </w:r>
    </w:p>
    <w:p w14:paraId="7FEE0A8F">
      <w:pPr>
        <w:widowControl/>
        <w:spacing w:line="0" w:lineRule="atLeast"/>
        <w:rPr>
          <w:rFonts w:ascii="微软雅黑" w:hAnsi="微软雅黑" w:eastAsia="微软雅黑"/>
          <w:szCs w:val="21"/>
        </w:rPr>
      </w:pPr>
      <w:r>
        <w:rPr>
          <w:rFonts w:hint="eastAsia" w:ascii="微软雅黑" w:hAnsi="微软雅黑" w:eastAsia="微软雅黑"/>
          <w:szCs w:val="21"/>
        </w:rPr>
        <w:t>两年期-----职能标杆</w:t>
      </w:r>
    </w:p>
    <w:p w14:paraId="154AB908">
      <w:pPr>
        <w:widowControl/>
        <w:spacing w:line="0" w:lineRule="atLeast"/>
        <w:rPr>
          <w:rFonts w:ascii="微软雅黑" w:hAnsi="微软雅黑" w:eastAsia="微软雅黑"/>
          <w:szCs w:val="21"/>
        </w:rPr>
      </w:pPr>
      <w:r>
        <w:rPr>
          <w:rFonts w:hint="eastAsia" w:ascii="微软雅黑" w:hAnsi="微软雅黑" w:eastAsia="微软雅黑"/>
          <w:szCs w:val="21"/>
        </w:rPr>
        <w:t>三年期-----职能管理</w:t>
      </w:r>
    </w:p>
    <w:bookmarkEnd w:id="2"/>
    <w:p w14:paraId="0676CDB6">
      <w:pPr>
        <w:spacing w:line="400" w:lineRule="exact"/>
        <w:jc w:val="left"/>
        <w:rPr>
          <w:rFonts w:ascii="微软雅黑" w:hAnsi="微软雅黑" w:eastAsia="微软雅黑" w:cs="幼圆"/>
          <w:bCs/>
          <w:sz w:val="20"/>
          <w:shd w:val="clear" w:color="auto" w:fill="FFFFFF"/>
        </w:rPr>
      </w:pPr>
    </w:p>
    <w:bookmarkEnd w:id="3"/>
    <w:p w14:paraId="1EBD81A6">
      <w:pPr>
        <w:spacing w:line="400" w:lineRule="exact"/>
        <w:jc w:val="left"/>
        <w:rPr>
          <w:rFonts w:ascii="微软雅黑" w:hAnsi="微软雅黑" w:eastAsia="微软雅黑" w:cs="幼圆"/>
          <w:b/>
          <w:bCs/>
          <w:shd w:val="clear" w:color="auto" w:fill="FFFFFF"/>
        </w:rPr>
      </w:pPr>
      <w:r>
        <w:rPr>
          <w:rFonts w:hint="eastAsia" w:ascii="微软雅黑" w:hAnsi="微软雅黑" w:eastAsia="微软雅黑" w:cs="幼圆"/>
          <w:b/>
          <w:bCs/>
          <w:shd w:val="clear" w:color="auto" w:fill="FFFFFF"/>
        </w:rPr>
        <w:t>行业领先的薪酬福利</w:t>
      </w:r>
    </w:p>
    <w:p w14:paraId="45EA39C7">
      <w:pPr>
        <w:spacing w:line="400" w:lineRule="exact"/>
        <w:ind w:firstLine="420"/>
        <w:jc w:val="left"/>
        <w:rPr>
          <w:rFonts w:ascii="微软雅黑" w:hAnsi="微软雅黑" w:eastAsia="微软雅黑" w:cs="幼圆"/>
          <w:bCs/>
        </w:rPr>
      </w:pPr>
      <w:bookmarkStart w:id="5" w:name="OLE_LINK24"/>
      <w:bookmarkStart w:id="6" w:name="OLE_LINK25"/>
      <w:r>
        <w:rPr>
          <w:rFonts w:hint="eastAsia" w:ascii="微软雅黑" w:hAnsi="微软雅黑" w:eastAsia="微软雅黑" w:cs="幼圆"/>
          <w:bCs/>
        </w:rPr>
        <w:t>拿毕业证后签署正式合同，薪酬：7</w:t>
      </w:r>
      <w:r>
        <w:rPr>
          <w:rFonts w:ascii="微软雅黑" w:hAnsi="微软雅黑" w:eastAsia="微软雅黑" w:cs="幼圆"/>
          <w:bCs/>
        </w:rPr>
        <w:t>000-9000元</w:t>
      </w:r>
      <w:r>
        <w:rPr>
          <w:rFonts w:hint="eastAsia" w:ascii="微软雅黑" w:hAnsi="微软雅黑" w:eastAsia="微软雅黑" w:cs="幼圆"/>
          <w:bCs/>
        </w:rPr>
        <w:t>/</w:t>
      </w:r>
      <w:r>
        <w:rPr>
          <w:rFonts w:ascii="微软雅黑" w:hAnsi="微软雅黑" w:eastAsia="微软雅黑" w:cs="幼圆"/>
          <w:bCs/>
        </w:rPr>
        <w:t>月</w:t>
      </w:r>
    </w:p>
    <w:p w14:paraId="1DC67DB7">
      <w:pPr>
        <w:spacing w:line="400" w:lineRule="exact"/>
        <w:ind w:firstLine="420"/>
        <w:jc w:val="left"/>
        <w:rPr>
          <w:rFonts w:ascii="微软雅黑" w:hAnsi="微软雅黑" w:eastAsia="微软雅黑" w:cs="幼圆"/>
          <w:bCs/>
          <w:shd w:val="clear" w:color="auto" w:fill="FFFFFF"/>
        </w:rPr>
      </w:pPr>
      <w:r>
        <w:rPr>
          <w:rFonts w:hint="eastAsia" w:ascii="微软雅黑" w:hAnsi="微软雅黑" w:eastAsia="微软雅黑" w:cs="幼圆"/>
          <w:bCs/>
          <w:shd w:val="clear" w:color="auto" w:fill="FFFFFF"/>
        </w:rPr>
        <w:t>福利：五险一金、餐补、带薪年假、节日福利、福利假、团建等</w:t>
      </w:r>
    </w:p>
    <w:p w14:paraId="11F6B19C">
      <w:pPr>
        <w:spacing w:line="400" w:lineRule="exact"/>
        <w:ind w:left="1471" w:leftChars="200" w:hanging="1051" w:hangingChars="500"/>
        <w:jc w:val="left"/>
        <w:rPr>
          <w:rFonts w:ascii="微软雅黑" w:hAnsi="微软雅黑" w:eastAsia="微软雅黑" w:cs="幼圆"/>
          <w:bCs/>
          <w:shd w:val="clear" w:color="auto" w:fill="FFFFFF"/>
        </w:rPr>
      </w:pPr>
      <w:r>
        <w:rPr>
          <w:rFonts w:ascii="微软雅黑" w:hAnsi="微软雅黑" w:eastAsia="微软雅黑" w:cs="Times New Roman"/>
          <w:b/>
          <w:szCs w:val="21"/>
        </w:rPr>
        <w:t>工作城市</w:t>
      </w:r>
      <w:r>
        <w:rPr>
          <w:rFonts w:hint="eastAsia" w:ascii="微软雅黑" w:hAnsi="微软雅黑" w:eastAsia="微软雅黑" w:cs="宋体"/>
          <w:b/>
          <w:kern w:val="0"/>
          <w:szCs w:val="21"/>
        </w:rPr>
        <w:t>：</w:t>
      </w:r>
      <w:r>
        <w:rPr>
          <w:rFonts w:ascii="微软雅黑" w:hAnsi="微软雅黑" w:eastAsia="微软雅黑" w:cs="Times New Roman"/>
          <w:szCs w:val="21"/>
        </w:rPr>
        <w:t>福建省：福州，泉州（晋江、石狮）、厦门、</w:t>
      </w:r>
      <w:r>
        <w:rPr>
          <w:rFonts w:hint="eastAsia" w:ascii="微软雅黑" w:hAnsi="微软雅黑" w:eastAsia="微软雅黑" w:cs="Times New Roman"/>
          <w:szCs w:val="21"/>
        </w:rPr>
        <w:t>漳州</w:t>
      </w:r>
      <w:r>
        <w:rPr>
          <w:rFonts w:ascii="微软雅黑" w:hAnsi="微软雅黑" w:eastAsia="微软雅黑" w:cs="Times New Roman"/>
          <w:szCs w:val="21"/>
        </w:rPr>
        <w:br w:type="textWrapping"/>
      </w:r>
      <w:r>
        <w:rPr>
          <w:rFonts w:ascii="微软雅黑" w:hAnsi="微软雅黑" w:eastAsia="微软雅黑" w:cs="Times New Roman"/>
          <w:szCs w:val="21"/>
        </w:rPr>
        <w:t>广东省：广州、深圳、东莞、江门</w:t>
      </w:r>
      <w:r>
        <w:rPr>
          <w:rFonts w:hint="eastAsia" w:ascii="微软雅黑" w:hAnsi="微软雅黑" w:eastAsia="微软雅黑" w:cs="幼圆"/>
          <w:bCs/>
          <w:shd w:val="clear" w:color="auto" w:fill="FFFFFF"/>
        </w:rPr>
        <w:t xml:space="preserve"> </w:t>
      </w:r>
    </w:p>
    <w:p w14:paraId="1D0B02FA">
      <w:pPr>
        <w:spacing w:line="400" w:lineRule="exact"/>
        <w:ind w:left="1470" w:leftChars="200" w:hanging="1050" w:hangingChars="500"/>
        <w:jc w:val="left"/>
        <w:rPr>
          <w:rFonts w:ascii="微软雅黑" w:hAnsi="微软雅黑" w:eastAsia="微软雅黑" w:cs="Times New Roman"/>
          <w:szCs w:val="21"/>
        </w:rPr>
      </w:pPr>
    </w:p>
    <w:p w14:paraId="3033B4B3">
      <w:pPr>
        <w:spacing w:line="400" w:lineRule="exact"/>
        <w:ind w:left="1470" w:leftChars="200" w:hanging="1050" w:hangingChars="500"/>
        <w:jc w:val="left"/>
        <w:rPr>
          <w:rFonts w:ascii="微软雅黑" w:hAnsi="微软雅黑" w:eastAsia="微软雅黑" w:cs="Times New Roman"/>
          <w:szCs w:val="21"/>
        </w:rPr>
      </w:pPr>
    </w:p>
    <w:p w14:paraId="7D607C63">
      <w:pPr>
        <w:spacing w:line="400" w:lineRule="exact"/>
        <w:ind w:left="1470" w:leftChars="200" w:hanging="1050" w:hangingChars="500"/>
        <w:jc w:val="left"/>
        <w:rPr>
          <w:rFonts w:ascii="微软雅黑" w:hAnsi="微软雅黑" w:eastAsia="微软雅黑" w:cs="Times New Roman"/>
          <w:szCs w:val="21"/>
        </w:rPr>
      </w:pPr>
    </w:p>
    <w:p w14:paraId="75A220EA">
      <w:pPr>
        <w:spacing w:line="400" w:lineRule="exact"/>
        <w:ind w:left="1470" w:leftChars="200" w:hanging="1050" w:hangingChars="500"/>
        <w:jc w:val="left"/>
        <w:rPr>
          <w:rFonts w:ascii="微软雅黑" w:hAnsi="微软雅黑" w:eastAsia="微软雅黑" w:cs="Times New Roman"/>
          <w:szCs w:val="21"/>
        </w:rPr>
      </w:pPr>
    </w:p>
    <w:bookmarkEnd w:id="5"/>
    <w:bookmarkEnd w:id="6"/>
    <w:p w14:paraId="0B85BAC3">
      <w:pPr>
        <w:pStyle w:val="6"/>
        <w:widowControl/>
        <w:shd w:val="clear" w:color="auto" w:fill="FFFFFF"/>
        <w:spacing w:before="156" w:beforeLines="50" w:beforeAutospacing="0" w:after="156" w:afterLines="50" w:afterAutospacing="0" w:line="400" w:lineRule="exact"/>
        <w:rPr>
          <w:rFonts w:ascii="微软雅黑" w:hAnsi="微软雅黑" w:eastAsia="微软雅黑" w:cs="幼圆"/>
          <w:b/>
          <w:bCs/>
          <w:sz w:val="22"/>
        </w:rPr>
      </w:pPr>
      <w:r>
        <w:rPr>
          <w:rFonts w:hint="eastAsia" w:ascii="微软雅黑" w:hAnsi="微软雅黑" w:eastAsia="微软雅黑" w:cs="幼圆"/>
          <w:b/>
          <w:bCs/>
          <w:sz w:val="22"/>
        </w:rPr>
        <w:t>四</w:t>
      </w:r>
      <w:r>
        <w:rPr>
          <w:rFonts w:ascii="微软雅黑" w:hAnsi="微软雅黑" w:eastAsia="微软雅黑" w:cs="幼圆"/>
          <w:b/>
          <w:bCs/>
          <w:sz w:val="22"/>
        </w:rPr>
        <w:t>、</w:t>
      </w:r>
      <w:r>
        <w:rPr>
          <w:rFonts w:hint="eastAsia" w:ascii="微软雅黑" w:hAnsi="微软雅黑" w:eastAsia="微软雅黑" w:cs="幼圆"/>
          <w:b/>
          <w:bCs/>
          <w:sz w:val="22"/>
        </w:rPr>
        <w:t>招聘岗位</w:t>
      </w:r>
    </w:p>
    <w:tbl>
      <w:tblPr>
        <w:tblStyle w:val="8"/>
        <w:tblW w:w="10140" w:type="dxa"/>
        <w:tblInd w:w="-5" w:type="dxa"/>
        <w:tblLayout w:type="autofit"/>
        <w:tblCellMar>
          <w:top w:w="0" w:type="dxa"/>
          <w:left w:w="108" w:type="dxa"/>
          <w:bottom w:w="0" w:type="dxa"/>
          <w:right w:w="108" w:type="dxa"/>
        </w:tblCellMar>
      </w:tblPr>
      <w:tblGrid>
        <w:gridCol w:w="1180"/>
        <w:gridCol w:w="1372"/>
        <w:gridCol w:w="1048"/>
        <w:gridCol w:w="6540"/>
      </w:tblGrid>
      <w:tr w14:paraId="52185920">
        <w:tblPrEx>
          <w:tblCellMar>
            <w:top w:w="0" w:type="dxa"/>
            <w:left w:w="108" w:type="dxa"/>
            <w:bottom w:w="0" w:type="dxa"/>
            <w:right w:w="108" w:type="dxa"/>
          </w:tblCellMar>
        </w:tblPrEx>
        <w:trPr>
          <w:trHeight w:val="290" w:hRule="atLeast"/>
        </w:trPr>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36E995D3">
            <w:pPr>
              <w:widowControl/>
              <w:jc w:val="center"/>
              <w:rPr>
                <w:rFonts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岗位类型</w:t>
            </w:r>
          </w:p>
        </w:tc>
        <w:tc>
          <w:tcPr>
            <w:tcW w:w="1372" w:type="dxa"/>
            <w:tcBorders>
              <w:top w:val="single" w:color="auto" w:sz="4" w:space="0"/>
              <w:left w:val="nil"/>
              <w:bottom w:val="single" w:color="auto" w:sz="4" w:space="0"/>
              <w:right w:val="single" w:color="auto" w:sz="4" w:space="0"/>
            </w:tcBorders>
            <w:shd w:val="clear" w:color="auto" w:fill="auto"/>
            <w:vAlign w:val="center"/>
          </w:tcPr>
          <w:p w14:paraId="78E906CC">
            <w:pPr>
              <w:widowControl/>
              <w:jc w:val="center"/>
              <w:rPr>
                <w:rFonts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条线</w:t>
            </w:r>
          </w:p>
        </w:tc>
        <w:tc>
          <w:tcPr>
            <w:tcW w:w="1048" w:type="dxa"/>
            <w:tcBorders>
              <w:top w:val="single" w:color="auto" w:sz="4" w:space="0"/>
              <w:left w:val="nil"/>
              <w:bottom w:val="single" w:color="auto" w:sz="4" w:space="0"/>
              <w:right w:val="single" w:color="auto" w:sz="4" w:space="0"/>
            </w:tcBorders>
            <w:shd w:val="clear" w:color="auto" w:fill="auto"/>
            <w:vAlign w:val="center"/>
          </w:tcPr>
          <w:p w14:paraId="14153530">
            <w:pPr>
              <w:widowControl/>
              <w:jc w:val="center"/>
              <w:rPr>
                <w:rFonts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数量</w:t>
            </w:r>
          </w:p>
        </w:tc>
        <w:tc>
          <w:tcPr>
            <w:tcW w:w="6540" w:type="dxa"/>
            <w:tcBorders>
              <w:top w:val="single" w:color="auto" w:sz="4" w:space="0"/>
              <w:left w:val="nil"/>
              <w:bottom w:val="single" w:color="auto" w:sz="4" w:space="0"/>
              <w:right w:val="single" w:color="auto" w:sz="4" w:space="0"/>
            </w:tcBorders>
            <w:shd w:val="clear" w:color="auto" w:fill="auto"/>
            <w:vAlign w:val="center"/>
          </w:tcPr>
          <w:p w14:paraId="6478CBC1">
            <w:pPr>
              <w:widowControl/>
              <w:jc w:val="center"/>
              <w:rPr>
                <w:rFonts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专业</w:t>
            </w:r>
          </w:p>
        </w:tc>
      </w:tr>
      <w:tr w14:paraId="01C42009">
        <w:tblPrEx>
          <w:tblCellMar>
            <w:top w:w="0" w:type="dxa"/>
            <w:left w:w="108" w:type="dxa"/>
            <w:bottom w:w="0" w:type="dxa"/>
            <w:right w:w="108" w:type="dxa"/>
          </w:tblCellMar>
        </w:tblPrEx>
        <w:trPr>
          <w:trHeight w:val="590" w:hRule="atLeast"/>
        </w:trPr>
        <w:tc>
          <w:tcPr>
            <w:tcW w:w="1180" w:type="dxa"/>
            <w:vMerge w:val="restart"/>
            <w:tcBorders>
              <w:top w:val="nil"/>
              <w:left w:val="single" w:color="auto" w:sz="4" w:space="0"/>
              <w:bottom w:val="single" w:color="auto" w:sz="4" w:space="0"/>
              <w:right w:val="single" w:color="auto" w:sz="4" w:space="0"/>
            </w:tcBorders>
            <w:shd w:val="clear" w:color="auto" w:fill="auto"/>
            <w:vAlign w:val="center"/>
          </w:tcPr>
          <w:p w14:paraId="0B06FF3C">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项目管理类</w:t>
            </w:r>
          </w:p>
        </w:tc>
        <w:tc>
          <w:tcPr>
            <w:tcW w:w="1372" w:type="dxa"/>
            <w:tcBorders>
              <w:top w:val="nil"/>
              <w:left w:val="nil"/>
              <w:bottom w:val="single" w:color="auto" w:sz="4" w:space="0"/>
              <w:right w:val="single" w:color="auto" w:sz="4" w:space="0"/>
            </w:tcBorders>
            <w:shd w:val="clear" w:color="auto" w:fill="auto"/>
            <w:vAlign w:val="center"/>
          </w:tcPr>
          <w:p w14:paraId="2A9FE888">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客服管家类</w:t>
            </w:r>
          </w:p>
        </w:tc>
        <w:tc>
          <w:tcPr>
            <w:tcW w:w="1048" w:type="dxa"/>
            <w:tcBorders>
              <w:top w:val="nil"/>
              <w:left w:val="nil"/>
              <w:bottom w:val="single" w:color="auto" w:sz="4" w:space="0"/>
              <w:right w:val="single" w:color="auto" w:sz="4" w:space="0"/>
            </w:tcBorders>
            <w:shd w:val="clear" w:color="auto" w:fill="auto"/>
            <w:vAlign w:val="center"/>
          </w:tcPr>
          <w:p w14:paraId="2FA8C09E">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w:t>
            </w:r>
          </w:p>
        </w:tc>
        <w:tc>
          <w:tcPr>
            <w:tcW w:w="6540" w:type="dxa"/>
            <w:tcBorders>
              <w:top w:val="nil"/>
              <w:left w:val="nil"/>
              <w:bottom w:val="single" w:color="auto" w:sz="4" w:space="0"/>
              <w:right w:val="single" w:color="auto" w:sz="4" w:space="0"/>
            </w:tcBorders>
            <w:shd w:val="clear" w:color="auto" w:fill="auto"/>
            <w:vAlign w:val="center"/>
          </w:tcPr>
          <w:p w14:paraId="0225CF3D">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物业管理、酒店管理、行政管理、工商管理、旅游管理、公共管理等相关专业</w:t>
            </w:r>
          </w:p>
        </w:tc>
      </w:tr>
      <w:tr w14:paraId="48FB0CE5">
        <w:tblPrEx>
          <w:tblCellMar>
            <w:top w:w="0" w:type="dxa"/>
            <w:left w:w="108" w:type="dxa"/>
            <w:bottom w:w="0" w:type="dxa"/>
            <w:right w:w="108" w:type="dxa"/>
          </w:tblCellMar>
        </w:tblPrEx>
        <w:trPr>
          <w:trHeight w:val="390" w:hRule="atLeast"/>
        </w:trPr>
        <w:tc>
          <w:tcPr>
            <w:tcW w:w="1180" w:type="dxa"/>
            <w:vMerge w:val="continue"/>
            <w:tcBorders>
              <w:top w:val="nil"/>
              <w:left w:val="single" w:color="auto" w:sz="4" w:space="0"/>
              <w:bottom w:val="single" w:color="auto" w:sz="4" w:space="0"/>
              <w:right w:val="single" w:color="auto" w:sz="4" w:space="0"/>
            </w:tcBorders>
            <w:vAlign w:val="center"/>
          </w:tcPr>
          <w:p w14:paraId="337295E0">
            <w:pPr>
              <w:widowControl/>
              <w:jc w:val="left"/>
              <w:rPr>
                <w:rFonts w:ascii="微软雅黑" w:hAnsi="微软雅黑" w:eastAsia="微软雅黑" w:cs="宋体"/>
                <w:color w:val="000000"/>
                <w:kern w:val="0"/>
                <w:sz w:val="18"/>
                <w:szCs w:val="18"/>
              </w:rPr>
            </w:pPr>
          </w:p>
        </w:tc>
        <w:tc>
          <w:tcPr>
            <w:tcW w:w="1372" w:type="dxa"/>
            <w:tcBorders>
              <w:top w:val="nil"/>
              <w:left w:val="nil"/>
              <w:bottom w:val="single" w:color="auto" w:sz="4" w:space="0"/>
              <w:right w:val="single" w:color="auto" w:sz="4" w:space="0"/>
            </w:tcBorders>
            <w:shd w:val="clear" w:color="auto" w:fill="auto"/>
            <w:vAlign w:val="center"/>
          </w:tcPr>
          <w:p w14:paraId="3BB21BC4">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工程类</w:t>
            </w:r>
          </w:p>
        </w:tc>
        <w:tc>
          <w:tcPr>
            <w:tcW w:w="1048" w:type="dxa"/>
            <w:tcBorders>
              <w:top w:val="nil"/>
              <w:left w:val="nil"/>
              <w:bottom w:val="single" w:color="auto" w:sz="4" w:space="0"/>
              <w:right w:val="single" w:color="auto" w:sz="4" w:space="0"/>
            </w:tcBorders>
            <w:shd w:val="clear" w:color="auto" w:fill="auto"/>
            <w:vAlign w:val="center"/>
          </w:tcPr>
          <w:p w14:paraId="0F6D1B9E">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w:t>
            </w:r>
          </w:p>
        </w:tc>
        <w:tc>
          <w:tcPr>
            <w:tcW w:w="6540" w:type="dxa"/>
            <w:tcBorders>
              <w:top w:val="nil"/>
              <w:left w:val="nil"/>
              <w:bottom w:val="single" w:color="auto" w:sz="4" w:space="0"/>
              <w:right w:val="single" w:color="auto" w:sz="4" w:space="0"/>
            </w:tcBorders>
            <w:shd w:val="clear" w:color="auto" w:fill="auto"/>
            <w:vAlign w:val="center"/>
          </w:tcPr>
          <w:p w14:paraId="7AD93B90">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土木工程、电气工层、暖通工程、给排水工程等工程管理相关专业</w:t>
            </w:r>
          </w:p>
        </w:tc>
      </w:tr>
      <w:tr w14:paraId="4164D545">
        <w:tblPrEx>
          <w:tblCellMar>
            <w:top w:w="0" w:type="dxa"/>
            <w:left w:w="108" w:type="dxa"/>
            <w:bottom w:w="0" w:type="dxa"/>
            <w:right w:w="108" w:type="dxa"/>
          </w:tblCellMar>
        </w:tblPrEx>
        <w:trPr>
          <w:trHeight w:val="390" w:hRule="atLeast"/>
        </w:trPr>
        <w:tc>
          <w:tcPr>
            <w:tcW w:w="1180" w:type="dxa"/>
            <w:vMerge w:val="continue"/>
            <w:tcBorders>
              <w:top w:val="nil"/>
              <w:left w:val="single" w:color="auto" w:sz="4" w:space="0"/>
              <w:bottom w:val="single" w:color="auto" w:sz="4" w:space="0"/>
              <w:right w:val="single" w:color="auto" w:sz="4" w:space="0"/>
            </w:tcBorders>
            <w:vAlign w:val="center"/>
          </w:tcPr>
          <w:p w14:paraId="3EC4C9AC">
            <w:pPr>
              <w:widowControl/>
              <w:jc w:val="left"/>
              <w:rPr>
                <w:rFonts w:ascii="微软雅黑" w:hAnsi="微软雅黑" w:eastAsia="微软雅黑" w:cs="宋体"/>
                <w:color w:val="000000"/>
                <w:kern w:val="0"/>
                <w:sz w:val="18"/>
                <w:szCs w:val="18"/>
              </w:rPr>
            </w:pPr>
          </w:p>
        </w:tc>
        <w:tc>
          <w:tcPr>
            <w:tcW w:w="1372" w:type="dxa"/>
            <w:tcBorders>
              <w:top w:val="nil"/>
              <w:left w:val="nil"/>
              <w:bottom w:val="single" w:color="auto" w:sz="4" w:space="0"/>
              <w:right w:val="single" w:color="auto" w:sz="4" w:space="0"/>
            </w:tcBorders>
            <w:shd w:val="clear" w:color="auto" w:fill="auto"/>
            <w:vAlign w:val="center"/>
          </w:tcPr>
          <w:p w14:paraId="465861EA">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环境类</w:t>
            </w:r>
          </w:p>
        </w:tc>
        <w:tc>
          <w:tcPr>
            <w:tcW w:w="1048" w:type="dxa"/>
            <w:tcBorders>
              <w:top w:val="nil"/>
              <w:left w:val="nil"/>
              <w:bottom w:val="single" w:color="auto" w:sz="4" w:space="0"/>
              <w:right w:val="single" w:color="auto" w:sz="4" w:space="0"/>
            </w:tcBorders>
            <w:shd w:val="clear" w:color="auto" w:fill="auto"/>
            <w:vAlign w:val="center"/>
          </w:tcPr>
          <w:p w14:paraId="228531D7">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w:t>
            </w:r>
          </w:p>
        </w:tc>
        <w:tc>
          <w:tcPr>
            <w:tcW w:w="6540" w:type="dxa"/>
            <w:tcBorders>
              <w:top w:val="nil"/>
              <w:left w:val="nil"/>
              <w:bottom w:val="single" w:color="auto" w:sz="4" w:space="0"/>
              <w:right w:val="single" w:color="auto" w:sz="4" w:space="0"/>
            </w:tcBorders>
            <w:shd w:val="clear" w:color="auto" w:fill="auto"/>
            <w:vAlign w:val="center"/>
          </w:tcPr>
          <w:p w14:paraId="0B6936BA">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环境工程、景观设计、园林设计、艺术设计、室内设计等相关专业</w:t>
            </w:r>
          </w:p>
        </w:tc>
      </w:tr>
      <w:tr w14:paraId="485F95CD">
        <w:tblPrEx>
          <w:tblCellMar>
            <w:top w:w="0" w:type="dxa"/>
            <w:left w:w="108" w:type="dxa"/>
            <w:bottom w:w="0" w:type="dxa"/>
            <w:right w:w="108" w:type="dxa"/>
          </w:tblCellMar>
        </w:tblPrEx>
        <w:trPr>
          <w:trHeight w:val="390" w:hRule="atLeast"/>
        </w:trPr>
        <w:tc>
          <w:tcPr>
            <w:tcW w:w="1180" w:type="dxa"/>
            <w:vMerge w:val="restart"/>
            <w:tcBorders>
              <w:top w:val="nil"/>
              <w:left w:val="single" w:color="auto" w:sz="4" w:space="0"/>
              <w:bottom w:val="single" w:color="auto" w:sz="4" w:space="0"/>
              <w:right w:val="single" w:color="auto" w:sz="4" w:space="0"/>
            </w:tcBorders>
            <w:shd w:val="clear" w:color="auto" w:fill="auto"/>
            <w:vAlign w:val="center"/>
          </w:tcPr>
          <w:p w14:paraId="628D77E7">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职能类</w:t>
            </w:r>
          </w:p>
        </w:tc>
        <w:tc>
          <w:tcPr>
            <w:tcW w:w="1372" w:type="dxa"/>
            <w:tcBorders>
              <w:top w:val="nil"/>
              <w:left w:val="nil"/>
              <w:bottom w:val="single" w:color="auto" w:sz="4" w:space="0"/>
              <w:right w:val="single" w:color="auto" w:sz="4" w:space="0"/>
            </w:tcBorders>
            <w:shd w:val="clear" w:color="auto" w:fill="auto"/>
            <w:vAlign w:val="center"/>
          </w:tcPr>
          <w:p w14:paraId="7813AF89">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业务品质类</w:t>
            </w:r>
          </w:p>
        </w:tc>
        <w:tc>
          <w:tcPr>
            <w:tcW w:w="1048" w:type="dxa"/>
            <w:tcBorders>
              <w:top w:val="nil"/>
              <w:left w:val="nil"/>
              <w:bottom w:val="single" w:color="auto" w:sz="4" w:space="0"/>
              <w:right w:val="single" w:color="auto" w:sz="4" w:space="0"/>
            </w:tcBorders>
            <w:shd w:val="clear" w:color="auto" w:fill="auto"/>
            <w:vAlign w:val="center"/>
          </w:tcPr>
          <w:p w14:paraId="1EC08E4E">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6540" w:type="dxa"/>
            <w:vMerge w:val="restart"/>
            <w:tcBorders>
              <w:top w:val="nil"/>
              <w:left w:val="single" w:color="auto" w:sz="4" w:space="0"/>
              <w:bottom w:val="single" w:color="000000" w:sz="4" w:space="0"/>
              <w:right w:val="single" w:color="auto" w:sz="4" w:space="0"/>
            </w:tcBorders>
            <w:shd w:val="clear" w:color="auto" w:fill="auto"/>
            <w:vAlign w:val="center"/>
          </w:tcPr>
          <w:p w14:paraId="60171B0E">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专业不限</w:t>
            </w:r>
          </w:p>
        </w:tc>
      </w:tr>
      <w:tr w14:paraId="2F5287EC">
        <w:tblPrEx>
          <w:tblCellMar>
            <w:top w:w="0" w:type="dxa"/>
            <w:left w:w="108" w:type="dxa"/>
            <w:bottom w:w="0" w:type="dxa"/>
            <w:right w:w="108" w:type="dxa"/>
          </w:tblCellMar>
        </w:tblPrEx>
        <w:trPr>
          <w:trHeight w:val="390" w:hRule="atLeast"/>
        </w:trPr>
        <w:tc>
          <w:tcPr>
            <w:tcW w:w="1180" w:type="dxa"/>
            <w:vMerge w:val="continue"/>
            <w:tcBorders>
              <w:top w:val="nil"/>
              <w:left w:val="single" w:color="auto" w:sz="4" w:space="0"/>
              <w:bottom w:val="single" w:color="auto" w:sz="4" w:space="0"/>
              <w:right w:val="single" w:color="auto" w:sz="4" w:space="0"/>
            </w:tcBorders>
            <w:vAlign w:val="center"/>
          </w:tcPr>
          <w:p w14:paraId="18FD6E7A">
            <w:pPr>
              <w:widowControl/>
              <w:jc w:val="left"/>
              <w:rPr>
                <w:rFonts w:ascii="微软雅黑" w:hAnsi="微软雅黑" w:eastAsia="微软雅黑" w:cs="宋体"/>
                <w:color w:val="000000"/>
                <w:kern w:val="0"/>
                <w:sz w:val="18"/>
                <w:szCs w:val="18"/>
              </w:rPr>
            </w:pPr>
          </w:p>
        </w:tc>
        <w:tc>
          <w:tcPr>
            <w:tcW w:w="1372" w:type="dxa"/>
            <w:tcBorders>
              <w:top w:val="nil"/>
              <w:left w:val="nil"/>
              <w:bottom w:val="single" w:color="auto" w:sz="4" w:space="0"/>
              <w:right w:val="single" w:color="auto" w:sz="4" w:space="0"/>
            </w:tcBorders>
            <w:shd w:val="clear" w:color="auto" w:fill="auto"/>
            <w:vAlign w:val="center"/>
          </w:tcPr>
          <w:p w14:paraId="13839BAD">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市场拓展类</w:t>
            </w:r>
          </w:p>
        </w:tc>
        <w:tc>
          <w:tcPr>
            <w:tcW w:w="1048" w:type="dxa"/>
            <w:tcBorders>
              <w:top w:val="nil"/>
              <w:left w:val="nil"/>
              <w:bottom w:val="single" w:color="auto" w:sz="4" w:space="0"/>
              <w:right w:val="single" w:color="auto" w:sz="4" w:space="0"/>
            </w:tcBorders>
            <w:shd w:val="clear" w:color="auto" w:fill="auto"/>
            <w:vAlign w:val="center"/>
          </w:tcPr>
          <w:p w14:paraId="7C8AE472">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6540" w:type="dxa"/>
            <w:vMerge w:val="continue"/>
            <w:tcBorders>
              <w:top w:val="nil"/>
              <w:left w:val="single" w:color="auto" w:sz="4" w:space="0"/>
              <w:bottom w:val="single" w:color="000000" w:sz="4" w:space="0"/>
              <w:right w:val="single" w:color="auto" w:sz="4" w:space="0"/>
            </w:tcBorders>
            <w:vAlign w:val="center"/>
          </w:tcPr>
          <w:p w14:paraId="6DDEFC10">
            <w:pPr>
              <w:widowControl/>
              <w:jc w:val="left"/>
              <w:rPr>
                <w:rFonts w:ascii="微软雅黑" w:hAnsi="微软雅黑" w:eastAsia="微软雅黑" w:cs="宋体"/>
                <w:color w:val="000000"/>
                <w:kern w:val="0"/>
                <w:sz w:val="18"/>
                <w:szCs w:val="18"/>
              </w:rPr>
            </w:pPr>
          </w:p>
        </w:tc>
      </w:tr>
      <w:tr w14:paraId="4976B4F0">
        <w:trPr>
          <w:trHeight w:val="390" w:hRule="atLeast"/>
        </w:trPr>
        <w:tc>
          <w:tcPr>
            <w:tcW w:w="1180" w:type="dxa"/>
            <w:vMerge w:val="continue"/>
            <w:tcBorders>
              <w:top w:val="nil"/>
              <w:left w:val="single" w:color="auto" w:sz="4" w:space="0"/>
              <w:bottom w:val="single" w:color="auto" w:sz="4" w:space="0"/>
              <w:right w:val="single" w:color="auto" w:sz="4" w:space="0"/>
            </w:tcBorders>
            <w:vAlign w:val="center"/>
          </w:tcPr>
          <w:p w14:paraId="45DF2C8F">
            <w:pPr>
              <w:widowControl/>
              <w:jc w:val="left"/>
              <w:rPr>
                <w:rFonts w:ascii="微软雅黑" w:hAnsi="微软雅黑" w:eastAsia="微软雅黑" w:cs="宋体"/>
                <w:color w:val="000000"/>
                <w:kern w:val="0"/>
                <w:sz w:val="18"/>
                <w:szCs w:val="18"/>
              </w:rPr>
            </w:pPr>
          </w:p>
        </w:tc>
        <w:tc>
          <w:tcPr>
            <w:tcW w:w="1372" w:type="dxa"/>
            <w:tcBorders>
              <w:top w:val="nil"/>
              <w:left w:val="nil"/>
              <w:bottom w:val="single" w:color="auto" w:sz="4" w:space="0"/>
              <w:right w:val="single" w:color="auto" w:sz="4" w:space="0"/>
            </w:tcBorders>
            <w:shd w:val="clear" w:color="auto" w:fill="auto"/>
            <w:vAlign w:val="center"/>
          </w:tcPr>
          <w:p w14:paraId="0EA5BA86">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新零售业务类</w:t>
            </w:r>
          </w:p>
        </w:tc>
        <w:tc>
          <w:tcPr>
            <w:tcW w:w="1048" w:type="dxa"/>
            <w:tcBorders>
              <w:top w:val="nil"/>
              <w:left w:val="nil"/>
              <w:bottom w:val="single" w:color="auto" w:sz="4" w:space="0"/>
              <w:right w:val="single" w:color="auto" w:sz="4" w:space="0"/>
            </w:tcBorders>
            <w:shd w:val="clear" w:color="auto" w:fill="auto"/>
            <w:vAlign w:val="center"/>
          </w:tcPr>
          <w:p w14:paraId="24DC016D">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6540" w:type="dxa"/>
            <w:vMerge w:val="continue"/>
            <w:tcBorders>
              <w:top w:val="nil"/>
              <w:left w:val="single" w:color="auto" w:sz="4" w:space="0"/>
              <w:bottom w:val="single" w:color="000000" w:sz="4" w:space="0"/>
              <w:right w:val="single" w:color="auto" w:sz="4" w:space="0"/>
            </w:tcBorders>
            <w:vAlign w:val="center"/>
          </w:tcPr>
          <w:p w14:paraId="4B6048D2">
            <w:pPr>
              <w:widowControl/>
              <w:jc w:val="left"/>
              <w:rPr>
                <w:rFonts w:ascii="微软雅黑" w:hAnsi="微软雅黑" w:eastAsia="微软雅黑" w:cs="宋体"/>
                <w:color w:val="000000"/>
                <w:kern w:val="0"/>
                <w:sz w:val="18"/>
                <w:szCs w:val="18"/>
              </w:rPr>
            </w:pPr>
          </w:p>
        </w:tc>
      </w:tr>
      <w:tr w14:paraId="44FCBA2C">
        <w:tblPrEx>
          <w:tblCellMar>
            <w:top w:w="0" w:type="dxa"/>
            <w:left w:w="108" w:type="dxa"/>
            <w:bottom w:w="0" w:type="dxa"/>
            <w:right w:w="108" w:type="dxa"/>
          </w:tblCellMar>
        </w:tblPrEx>
        <w:trPr>
          <w:trHeight w:val="390" w:hRule="atLeast"/>
        </w:trPr>
        <w:tc>
          <w:tcPr>
            <w:tcW w:w="1180" w:type="dxa"/>
            <w:vMerge w:val="continue"/>
            <w:tcBorders>
              <w:top w:val="nil"/>
              <w:left w:val="single" w:color="auto" w:sz="4" w:space="0"/>
              <w:bottom w:val="single" w:color="auto" w:sz="4" w:space="0"/>
              <w:right w:val="single" w:color="auto" w:sz="4" w:space="0"/>
            </w:tcBorders>
            <w:vAlign w:val="center"/>
          </w:tcPr>
          <w:p w14:paraId="5645429B">
            <w:pPr>
              <w:widowControl/>
              <w:jc w:val="left"/>
              <w:rPr>
                <w:rFonts w:ascii="微软雅黑" w:hAnsi="微软雅黑" w:eastAsia="微软雅黑" w:cs="宋体"/>
                <w:color w:val="000000"/>
                <w:kern w:val="0"/>
                <w:sz w:val="18"/>
                <w:szCs w:val="18"/>
              </w:rPr>
            </w:pPr>
          </w:p>
        </w:tc>
        <w:tc>
          <w:tcPr>
            <w:tcW w:w="1372" w:type="dxa"/>
            <w:tcBorders>
              <w:top w:val="nil"/>
              <w:left w:val="nil"/>
              <w:bottom w:val="single" w:color="auto" w:sz="4" w:space="0"/>
              <w:right w:val="single" w:color="auto" w:sz="4" w:space="0"/>
            </w:tcBorders>
            <w:shd w:val="clear" w:color="auto" w:fill="auto"/>
            <w:vAlign w:val="center"/>
          </w:tcPr>
          <w:p w14:paraId="2674B3E6">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人力资源类</w:t>
            </w:r>
          </w:p>
        </w:tc>
        <w:tc>
          <w:tcPr>
            <w:tcW w:w="1048" w:type="dxa"/>
            <w:tcBorders>
              <w:top w:val="nil"/>
              <w:left w:val="nil"/>
              <w:bottom w:val="single" w:color="auto" w:sz="4" w:space="0"/>
              <w:right w:val="single" w:color="auto" w:sz="4" w:space="0"/>
            </w:tcBorders>
            <w:shd w:val="clear" w:color="auto" w:fill="auto"/>
            <w:vAlign w:val="center"/>
          </w:tcPr>
          <w:p w14:paraId="1E0E712D">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6540" w:type="dxa"/>
            <w:vMerge w:val="continue"/>
            <w:tcBorders>
              <w:top w:val="nil"/>
              <w:left w:val="single" w:color="auto" w:sz="4" w:space="0"/>
              <w:bottom w:val="single" w:color="000000" w:sz="4" w:space="0"/>
              <w:right w:val="single" w:color="auto" w:sz="4" w:space="0"/>
            </w:tcBorders>
            <w:vAlign w:val="center"/>
          </w:tcPr>
          <w:p w14:paraId="48333399">
            <w:pPr>
              <w:widowControl/>
              <w:jc w:val="left"/>
              <w:rPr>
                <w:rFonts w:ascii="微软雅黑" w:hAnsi="微软雅黑" w:eastAsia="微软雅黑" w:cs="宋体"/>
                <w:color w:val="000000"/>
                <w:kern w:val="0"/>
                <w:sz w:val="18"/>
                <w:szCs w:val="18"/>
              </w:rPr>
            </w:pPr>
          </w:p>
        </w:tc>
      </w:tr>
    </w:tbl>
    <w:p w14:paraId="554F33F1">
      <w:pPr>
        <w:pStyle w:val="6"/>
        <w:widowControl/>
        <w:shd w:val="clear" w:color="auto" w:fill="FFFFFF"/>
        <w:spacing w:before="156" w:beforeLines="50" w:beforeAutospacing="0" w:after="156" w:afterLines="50" w:afterAutospacing="0" w:line="400" w:lineRule="exact"/>
        <w:rPr>
          <w:rFonts w:ascii="微软雅黑" w:hAnsi="微软雅黑" w:eastAsia="微软雅黑" w:cs="幼圆"/>
          <w:b/>
          <w:bCs/>
          <w:sz w:val="22"/>
        </w:rPr>
      </w:pPr>
      <w:r>
        <w:rPr>
          <w:rFonts w:hint="eastAsia" w:ascii="微软雅黑" w:hAnsi="微软雅黑" w:eastAsia="微软雅黑" w:cs="幼圆"/>
          <w:b/>
          <w:bCs/>
          <w:sz w:val="22"/>
        </w:rPr>
        <w:t>五</w:t>
      </w:r>
      <w:r>
        <w:rPr>
          <w:rFonts w:ascii="微软雅黑" w:hAnsi="微软雅黑" w:eastAsia="微软雅黑" w:cs="幼圆"/>
          <w:b/>
          <w:bCs/>
          <w:sz w:val="22"/>
        </w:rPr>
        <w:t>、</w:t>
      </w:r>
      <w:r>
        <w:rPr>
          <w:rFonts w:hint="eastAsia" w:ascii="微软雅黑" w:hAnsi="微软雅黑" w:eastAsia="微软雅黑" w:cs="幼圆"/>
          <w:b/>
          <w:bCs/>
          <w:sz w:val="22"/>
        </w:rPr>
        <w:t>招聘流程</w:t>
      </w:r>
    </w:p>
    <w:p w14:paraId="0B96D5A3">
      <w:pPr>
        <w:spacing w:line="400" w:lineRule="exact"/>
        <w:ind w:firstLine="420" w:firstLineChars="200"/>
        <w:jc w:val="left"/>
        <w:rPr>
          <w:rFonts w:ascii="微软雅黑" w:hAnsi="微软雅黑" w:eastAsia="微软雅黑" w:cs="幼圆"/>
          <w:bCs/>
          <w:shd w:val="clear" w:color="auto" w:fill="FFFFFF"/>
        </w:rPr>
      </w:pPr>
      <w:bookmarkStart w:id="7" w:name="OLE_LINK29"/>
      <w:r>
        <w:rPr>
          <w:rFonts w:hint="eastAsia" w:ascii="微软雅黑" w:hAnsi="微软雅黑" w:eastAsia="微软雅黑" w:cs="幼圆"/>
          <w:bCs/>
          <w:shd w:val="clear" w:color="auto" w:fill="FFFFFF"/>
        </w:rPr>
        <w:t>简历投递（9月-</w:t>
      </w:r>
      <w:r>
        <w:rPr>
          <w:rFonts w:ascii="微软雅黑" w:hAnsi="微软雅黑" w:eastAsia="微软雅黑" w:cs="幼圆"/>
          <w:bCs/>
          <w:shd w:val="clear" w:color="auto" w:fill="FFFFFF"/>
        </w:rPr>
        <w:t>10月</w:t>
      </w:r>
      <w:r>
        <w:rPr>
          <w:rFonts w:hint="eastAsia" w:ascii="微软雅黑" w:hAnsi="微软雅黑" w:eastAsia="微软雅黑" w:cs="幼圆"/>
          <w:bCs/>
          <w:shd w:val="clear" w:color="auto" w:fill="FFFFFF"/>
        </w:rPr>
        <w:t>）→宣讲/沙龙（1</w:t>
      </w:r>
      <w:r>
        <w:rPr>
          <w:rFonts w:ascii="微软雅黑" w:hAnsi="微软雅黑" w:eastAsia="微软雅黑" w:cs="幼圆"/>
          <w:bCs/>
          <w:shd w:val="clear" w:color="auto" w:fill="FFFFFF"/>
        </w:rPr>
        <w:t>0月</w:t>
      </w:r>
      <w:r>
        <w:rPr>
          <w:rFonts w:hint="eastAsia" w:ascii="微软雅黑" w:hAnsi="微软雅黑" w:eastAsia="微软雅黑" w:cs="幼圆"/>
          <w:bCs/>
          <w:shd w:val="clear" w:color="auto" w:fill="FFFFFF"/>
        </w:rPr>
        <w:t>-</w:t>
      </w:r>
      <w:r>
        <w:rPr>
          <w:rFonts w:ascii="微软雅黑" w:hAnsi="微软雅黑" w:eastAsia="微软雅黑" w:cs="幼圆"/>
          <w:bCs/>
          <w:shd w:val="clear" w:color="auto" w:fill="FFFFFF"/>
        </w:rPr>
        <w:t>11月</w:t>
      </w:r>
      <w:r>
        <w:rPr>
          <w:rFonts w:hint="eastAsia" w:ascii="微软雅黑" w:hAnsi="微软雅黑" w:eastAsia="微软雅黑" w:cs="幼圆"/>
          <w:bCs/>
          <w:shd w:val="clear" w:color="auto" w:fill="FFFFFF"/>
        </w:rPr>
        <w:t>）→面试（三轮，1</w:t>
      </w:r>
      <w:r>
        <w:rPr>
          <w:rFonts w:ascii="微软雅黑" w:hAnsi="微软雅黑" w:eastAsia="微软雅黑" w:cs="幼圆"/>
          <w:bCs/>
          <w:shd w:val="clear" w:color="auto" w:fill="FFFFFF"/>
        </w:rPr>
        <w:t>0月</w:t>
      </w:r>
      <w:r>
        <w:rPr>
          <w:rFonts w:hint="eastAsia" w:ascii="微软雅黑" w:hAnsi="微软雅黑" w:eastAsia="微软雅黑" w:cs="幼圆"/>
          <w:bCs/>
          <w:shd w:val="clear" w:color="auto" w:fill="FFFFFF"/>
        </w:rPr>
        <w:t>-</w:t>
      </w:r>
      <w:r>
        <w:rPr>
          <w:rFonts w:ascii="微软雅黑" w:hAnsi="微软雅黑" w:eastAsia="微软雅黑" w:cs="幼圆"/>
          <w:bCs/>
          <w:shd w:val="clear" w:color="auto" w:fill="FFFFFF"/>
        </w:rPr>
        <w:t>11月</w:t>
      </w:r>
      <w:r>
        <w:rPr>
          <w:rFonts w:hint="eastAsia" w:ascii="微软雅黑" w:hAnsi="微软雅黑" w:eastAsia="微软雅黑" w:cs="幼圆"/>
          <w:bCs/>
          <w:shd w:val="clear" w:color="auto" w:fill="FFFFFF"/>
        </w:rPr>
        <w:t>）→实习→毕业入职</w:t>
      </w:r>
    </w:p>
    <w:bookmarkEnd w:id="7"/>
    <w:p w14:paraId="533E72ED">
      <w:pPr>
        <w:spacing w:line="400" w:lineRule="exact"/>
        <w:ind w:firstLine="420" w:firstLineChars="200"/>
        <w:jc w:val="left"/>
        <w:rPr>
          <w:rFonts w:ascii="微软雅黑" w:hAnsi="微软雅黑" w:eastAsia="微软雅黑" w:cs="幼圆"/>
          <w:shd w:val="clear" w:color="auto" w:fill="FFFFFF"/>
        </w:rPr>
      </w:pPr>
      <w:r>
        <w:rPr>
          <w:rFonts w:hint="eastAsia" w:ascii="微软雅黑" w:hAnsi="微软雅黑" w:eastAsia="微软雅黑" w:cs="幼圆"/>
          <w:b/>
          <w:bCs/>
          <w:shd w:val="clear" w:color="auto" w:fill="FFFFFF"/>
        </w:rPr>
        <w:t>初试：</w:t>
      </w:r>
      <w:r>
        <w:rPr>
          <w:rFonts w:hint="eastAsia" w:ascii="微软雅黑" w:hAnsi="微软雅黑" w:eastAsia="微软雅黑" w:cs="幼圆"/>
          <w:shd w:val="clear" w:color="auto" w:fill="FFFFFF"/>
        </w:rPr>
        <w:t>业务把关，认定你是适合业务的好苗子。</w:t>
      </w:r>
    </w:p>
    <w:p w14:paraId="39CD8F86">
      <w:pPr>
        <w:spacing w:line="400" w:lineRule="exact"/>
        <w:ind w:firstLine="420" w:firstLineChars="200"/>
        <w:jc w:val="left"/>
        <w:rPr>
          <w:rFonts w:ascii="微软雅黑" w:hAnsi="微软雅黑" w:eastAsia="微软雅黑" w:cs="幼圆"/>
          <w:shd w:val="clear" w:color="auto" w:fill="FFFFFF"/>
        </w:rPr>
      </w:pPr>
      <w:r>
        <w:rPr>
          <w:rFonts w:ascii="微软雅黑" w:hAnsi="微软雅黑" w:eastAsia="微软雅黑" w:cs="幼圆"/>
          <w:b/>
          <w:shd w:val="clear" w:color="auto" w:fill="FFFFFF"/>
        </w:rPr>
        <w:t>复试</w:t>
      </w:r>
      <w:r>
        <w:rPr>
          <w:rFonts w:ascii="微软雅黑" w:hAnsi="微软雅黑" w:eastAsia="微软雅黑" w:cs="幼圆"/>
          <w:shd w:val="clear" w:color="auto" w:fill="FFFFFF"/>
        </w:rPr>
        <w:t>：区域深度对话，直面核心挑战，展现你的潜质。</w:t>
      </w:r>
    </w:p>
    <w:p w14:paraId="4A5F4F3F">
      <w:pPr>
        <w:spacing w:line="400" w:lineRule="exact"/>
        <w:ind w:firstLine="420" w:firstLineChars="200"/>
        <w:jc w:val="left"/>
        <w:rPr>
          <w:rFonts w:ascii="微软雅黑" w:hAnsi="微软雅黑" w:eastAsia="微软雅黑" w:cs="幼圆"/>
          <w:bCs/>
          <w:shd w:val="clear" w:color="auto" w:fill="FFFFFF"/>
        </w:rPr>
      </w:pPr>
      <w:r>
        <w:rPr>
          <w:rFonts w:hint="eastAsia" w:ascii="微软雅黑" w:hAnsi="微软雅黑" w:eastAsia="微软雅黑" w:cs="幼圆"/>
          <w:b/>
          <w:bCs/>
          <w:shd w:val="clear" w:color="auto" w:fill="FFFFFF"/>
        </w:rPr>
        <w:t>终试</w:t>
      </w:r>
      <w:r>
        <w:rPr>
          <w:rFonts w:ascii="微软雅黑" w:hAnsi="微软雅黑" w:eastAsia="微软雅黑" w:cs="幼圆"/>
          <w:bCs/>
          <w:shd w:val="clear" w:color="auto" w:fill="FFFFFF"/>
        </w:rPr>
        <w:t>：</w:t>
      </w:r>
      <w:r>
        <w:rPr>
          <w:rFonts w:hint="eastAsia" w:ascii="微软雅黑" w:hAnsi="微软雅黑" w:eastAsia="微软雅黑" w:cs="幼圆"/>
          <w:bCs/>
          <w:shd w:val="clear" w:color="auto" w:fill="FFFFFF"/>
        </w:rPr>
        <w:t>总部大咖与人力总面对面，指点职业方向。</w:t>
      </w:r>
    </w:p>
    <w:p w14:paraId="1AB4438D">
      <w:pPr>
        <w:spacing w:line="400" w:lineRule="exact"/>
        <w:ind w:firstLine="420" w:firstLineChars="200"/>
        <w:jc w:val="left"/>
        <w:rPr>
          <w:rStyle w:val="10"/>
          <w:rFonts w:ascii="微软雅黑" w:hAnsi="微软雅黑" w:eastAsia="微软雅黑" w:cs="幼圆"/>
          <w:bCs/>
          <w:shd w:val="clear" w:color="auto" w:fill="FFFFFF"/>
        </w:rPr>
      </w:pPr>
      <w:r>
        <w:rPr>
          <w:rFonts w:ascii="微软雅黑" w:hAnsi="微软雅黑" w:eastAsia="微软雅黑" w:cs="幼圆"/>
          <w:b/>
          <w:bCs/>
          <w:shd w:val="clear" w:color="auto" w:fill="FFFFFF"/>
        </w:rPr>
        <w:t>offer</w:t>
      </w:r>
      <w:r>
        <w:rPr>
          <w:rFonts w:hint="eastAsia" w:ascii="微软雅黑" w:hAnsi="微软雅黑" w:eastAsia="微软雅黑" w:cs="幼圆"/>
          <w:b/>
          <w:bCs/>
          <w:shd w:val="clear" w:color="auto" w:fill="FFFFFF"/>
        </w:rPr>
        <w:t>：</w:t>
      </w:r>
      <w:r>
        <w:rPr>
          <w:rFonts w:hint="eastAsia" w:ascii="微软雅黑" w:hAnsi="微软雅黑" w:eastAsia="微软雅黑" w:cs="幼圆"/>
          <w:bCs/>
          <w:shd w:val="clear" w:color="auto" w:fill="FFFFFF"/>
        </w:rPr>
        <w:t>面试后一周内录用，高效做事！</w:t>
      </w:r>
    </w:p>
    <w:p w14:paraId="35FA8828">
      <w:pPr>
        <w:tabs>
          <w:tab w:val="left" w:pos="6418"/>
        </w:tabs>
        <w:jc w:val="left"/>
        <w:rPr>
          <w:rFonts w:ascii="微软雅黑" w:hAnsi="微软雅黑" w:eastAsia="微软雅黑" w:cs="幼圆"/>
          <w:b/>
          <w:bCs/>
          <w:sz w:val="22"/>
        </w:rPr>
      </w:pPr>
      <w:r>
        <w:rPr>
          <w:rFonts w:hint="eastAsia" w:ascii="微软雅黑" w:hAnsi="微软雅黑" w:eastAsia="微软雅黑" w:cs="幼圆"/>
          <w:b/>
          <w:bCs/>
          <w:sz w:val="22"/>
        </w:rPr>
        <w:t xml:space="preserve">六、投递链接 </w:t>
      </w:r>
      <w:r>
        <w:rPr>
          <w:rFonts w:ascii="微软雅黑" w:hAnsi="微软雅黑" w:eastAsia="微软雅黑" w:cs="幼圆"/>
          <w:b/>
          <w:bCs/>
          <w:sz w:val="22"/>
        </w:rPr>
        <w:t xml:space="preserve"> </w:t>
      </w:r>
    </w:p>
    <w:p w14:paraId="2589E5CB">
      <w:pPr>
        <w:tabs>
          <w:tab w:val="left" w:pos="6418"/>
        </w:tabs>
        <w:jc w:val="left"/>
        <w:rPr>
          <w:rFonts w:hint="eastAsia" w:ascii="微软雅黑" w:hAnsi="微软雅黑" w:eastAsia="微软雅黑" w:cs="幼圆"/>
          <w:bCs/>
        </w:rPr>
      </w:pPr>
      <w:r>
        <w:rPr>
          <w:rFonts w:ascii="微软雅黑" w:hAnsi="微软雅黑" w:eastAsia="微软雅黑" w:cs="幼圆"/>
          <w:bCs/>
        </w:rPr>
        <w:t>直接扫描填写意向岗位及个人简历</w:t>
      </w:r>
    </w:p>
    <w:p w14:paraId="3B7A10A9">
      <w:pPr>
        <w:tabs>
          <w:tab w:val="left" w:pos="6418"/>
        </w:tabs>
        <w:jc w:val="left"/>
        <w:rPr>
          <w:rFonts w:hint="eastAsia" w:ascii="微软雅黑" w:hAnsi="微软雅黑" w:eastAsia="微软雅黑" w:cs="幼圆"/>
          <w:b/>
          <w:bCs/>
          <w:sz w:val="22"/>
        </w:rPr>
      </w:pPr>
      <w:r>
        <w:rPr>
          <w:rFonts w:ascii="微软雅黑" w:hAnsi="微软雅黑" w:eastAsia="微软雅黑" w:cs="幼圆"/>
          <w:bCs/>
        </w:rPr>
        <w:t>联系方式：杨小姐，</w:t>
      </w:r>
      <w:r>
        <w:rPr>
          <w:rFonts w:hint="eastAsia" w:ascii="微软雅黑" w:hAnsi="微软雅黑" w:eastAsia="微软雅黑" w:cs="幼圆"/>
          <w:bCs/>
        </w:rPr>
        <w:t>1</w:t>
      </w:r>
      <w:r>
        <w:rPr>
          <w:rFonts w:ascii="微软雅黑" w:hAnsi="微软雅黑" w:eastAsia="微软雅黑" w:cs="幼圆"/>
          <w:bCs/>
        </w:rPr>
        <w:t>3662679339（微信同号，备注：学校</w:t>
      </w:r>
      <w:r>
        <w:rPr>
          <w:rFonts w:hint="eastAsia" w:ascii="微软雅黑" w:hAnsi="微软雅黑" w:eastAsia="微软雅黑" w:cs="幼圆"/>
          <w:bCs/>
        </w:rPr>
        <w:t>+姓名</w:t>
      </w:r>
      <w:r>
        <w:rPr>
          <w:rFonts w:ascii="微软雅黑" w:hAnsi="微软雅黑" w:eastAsia="微软雅黑" w:cs="幼圆"/>
          <w:bCs/>
        </w:rPr>
        <w:t>）</w:t>
      </w:r>
    </w:p>
    <w:p w14:paraId="32E1646C">
      <w:pPr>
        <w:tabs>
          <w:tab w:val="left" w:pos="6418"/>
        </w:tabs>
        <w:jc w:val="left"/>
        <w:rPr>
          <w:rFonts w:ascii="微软雅黑" w:hAnsi="微软雅黑" w:eastAsia="微软雅黑" w:cs="幼圆"/>
          <w:b/>
          <w:bCs/>
          <w:sz w:val="22"/>
        </w:rPr>
      </w:pPr>
    </w:p>
    <w:p w14:paraId="66E54EB4">
      <w:pPr>
        <w:tabs>
          <w:tab w:val="left" w:pos="6418"/>
        </w:tabs>
        <w:jc w:val="left"/>
        <w:rPr>
          <w:rFonts w:ascii="微软雅黑" w:hAnsi="微软雅黑" w:eastAsia="微软雅黑" w:cs="幼圆"/>
          <w:bCs/>
        </w:rPr>
      </w:pPr>
    </w:p>
    <w:p w14:paraId="36EFE983">
      <w:pPr>
        <w:tabs>
          <w:tab w:val="left" w:pos="6418"/>
        </w:tabs>
        <w:jc w:val="left"/>
        <w:rPr>
          <w:rFonts w:ascii="微软雅黑" w:hAnsi="微软雅黑" w:eastAsia="微软雅黑" w:cs="幼圆"/>
          <w:bCs/>
        </w:rPr>
      </w:pPr>
    </w:p>
    <w:p w14:paraId="3AC66F4B">
      <w:pPr>
        <w:tabs>
          <w:tab w:val="left" w:pos="6418"/>
        </w:tabs>
        <w:jc w:val="left"/>
        <w:rPr>
          <w:rFonts w:ascii="微软雅黑" w:hAnsi="微软雅黑" w:eastAsia="微软雅黑" w:cs="幼圆"/>
          <w:bCs/>
        </w:rPr>
      </w:pPr>
      <w:r>
        <w:rPr>
          <w:rFonts w:ascii="微软雅黑" w:hAnsi="微软雅黑" w:eastAsia="微软雅黑" w:cs="幼圆"/>
          <w:bCs/>
        </w:rPr>
        <mc:AlternateContent>
          <mc:Choice Requires="wps">
            <w:drawing>
              <wp:anchor distT="45720" distB="45720" distL="114300" distR="114300" simplePos="0" relativeHeight="251659264" behindDoc="0" locked="0" layoutInCell="1" allowOverlap="1">
                <wp:simplePos x="0" y="0"/>
                <wp:positionH relativeFrom="margin">
                  <wp:posOffset>-82550</wp:posOffset>
                </wp:positionH>
                <wp:positionV relativeFrom="paragraph">
                  <wp:posOffset>-962025</wp:posOffset>
                </wp:positionV>
                <wp:extent cx="2520950" cy="2965450"/>
                <wp:effectExtent l="0" t="0" r="12700" b="25400"/>
                <wp:wrapSquare wrapText="bothSides"/>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520950" cy="2965450"/>
                        </a:xfrm>
                        <a:prstGeom prst="rect">
                          <a:avLst/>
                        </a:prstGeom>
                        <a:solidFill>
                          <a:srgbClr val="FFFFFF"/>
                        </a:solidFill>
                        <a:ln w="9525">
                          <a:solidFill>
                            <a:srgbClr val="000000"/>
                          </a:solidFill>
                          <a:miter lim="800000"/>
                        </a:ln>
                      </wps:spPr>
                      <wps:txbx>
                        <w:txbxContent>
                          <w:p w14:paraId="44838CA0"/>
                          <w:p w14:paraId="2E5ED318">
                            <w:r>
                              <w:drawing>
                                <wp:inline distT="0" distB="0" distL="0" distR="0">
                                  <wp:extent cx="2216150" cy="2216150"/>
                                  <wp:effectExtent l="0" t="0" r="0" b="0"/>
                                  <wp:docPr id="10" name="图片 10" descr="C:\Users\shimao\Downloads\httpswww.wjx.cnvmrXQGPLE.aspx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shimao\Downloads\httpswww.wjx.cnvmrXQGPLE.aspx (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16150" cy="2216150"/>
                                          </a:xfrm>
                                          <a:prstGeom prst="rect">
                                            <a:avLst/>
                                          </a:prstGeom>
                                          <a:noFill/>
                                          <a:ln>
                                            <a:noFill/>
                                          </a:ln>
                                        </pic:spPr>
                                      </pic:pic>
                                    </a:graphicData>
                                  </a:graphic>
                                </wp:inline>
                              </w:drawing>
                            </w:r>
                          </w:p>
                          <w:p w14:paraId="688FBA6D">
                            <w:pPr>
                              <w:ind w:firstLine="210" w:firstLineChars="100"/>
                            </w:pPr>
                            <w:r>
                              <w:rPr>
                                <w:rFonts w:hint="eastAsia"/>
                              </w:rPr>
                              <w:t>东南</w:t>
                            </w:r>
                            <w:r>
                              <w:t>区域</w:t>
                            </w:r>
                            <w:r>
                              <w:rPr>
                                <w:rFonts w:hint="eastAsia"/>
                              </w:rPr>
                              <w:t>2026校招</w:t>
                            </w:r>
                            <w:r>
                              <w:t>应聘登记表</w:t>
                            </w:r>
                          </w:p>
                          <w:p w14:paraId="737FCF7F"/>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6.5pt;margin-top:-75.75pt;height:233.5pt;width:198.5pt;mso-position-horizontal-relative:margin;mso-wrap-distance-bottom:3.6pt;mso-wrap-distance-left:9pt;mso-wrap-distance-right:9pt;mso-wrap-distance-top:3.6pt;z-index:251659264;mso-width-relative:page;mso-height-relative:page;" fillcolor="#FFFFFF" filled="t" stroked="t" coordsize="21600,21600" o:gfxdata="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Z95aTaAAAADAEAAA8AAAAAAAAAAQAgAAAAIgAAAGRycy9k&#10;b3ducmV2LnhtbFBLAQIUABQAAAAIAIdO4kBUcuAWOQIAAHwEAAAOAAAAAAAAAAEAIAAAACkBAABk&#10;cnMvZTJvRG9jLnhtbFBLBQYAAAAABgAGAFkBAADUBQAAAAA=&#10;">
                <v:fill on="t" focussize="0,0"/>
                <v:stroke color="#000000" miterlimit="8" joinstyle="miter"/>
                <v:imagedata o:title=""/>
                <o:lock v:ext="edit" aspectratio="f"/>
                <v:textbox>
                  <w:txbxContent>
                    <w:p w14:paraId="44838CA0"/>
                    <w:p w14:paraId="2E5ED318">
                      <w:r>
                        <w:drawing>
                          <wp:inline distT="0" distB="0" distL="0" distR="0">
                            <wp:extent cx="2216150" cy="2216150"/>
                            <wp:effectExtent l="0" t="0" r="0" b="0"/>
                            <wp:docPr id="10" name="图片 10" descr="C:\Users\shimao\Downloads\httpswww.wjx.cnvmrXQGPLE.aspx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shimao\Downloads\httpswww.wjx.cnvmrXQGPLE.aspx (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16150" cy="2216150"/>
                                    </a:xfrm>
                                    <a:prstGeom prst="rect">
                                      <a:avLst/>
                                    </a:prstGeom>
                                    <a:noFill/>
                                    <a:ln>
                                      <a:noFill/>
                                    </a:ln>
                                  </pic:spPr>
                                </pic:pic>
                              </a:graphicData>
                            </a:graphic>
                          </wp:inline>
                        </w:drawing>
                      </w:r>
                    </w:p>
                    <w:p w14:paraId="688FBA6D">
                      <w:pPr>
                        <w:ind w:firstLine="210" w:firstLineChars="100"/>
                      </w:pPr>
                      <w:r>
                        <w:rPr>
                          <w:rFonts w:hint="eastAsia"/>
                        </w:rPr>
                        <w:t>东南</w:t>
                      </w:r>
                      <w:r>
                        <w:t>区域</w:t>
                      </w:r>
                      <w:r>
                        <w:rPr>
                          <w:rFonts w:hint="eastAsia"/>
                        </w:rPr>
                        <w:t>2026校招</w:t>
                      </w:r>
                      <w:r>
                        <w:t>应聘登记表</w:t>
                      </w:r>
                    </w:p>
                    <w:p w14:paraId="737FCF7F"/>
                  </w:txbxContent>
                </v:textbox>
                <w10:wrap type="square"/>
              </v:shape>
            </w:pict>
          </mc:Fallback>
        </mc:AlternateContent>
      </w:r>
    </w:p>
    <w:p w14:paraId="37F9D909">
      <w:pPr>
        <w:tabs>
          <w:tab w:val="left" w:pos="6418"/>
        </w:tabs>
        <w:jc w:val="left"/>
        <w:rPr>
          <w:rFonts w:ascii="微软雅黑" w:hAnsi="微软雅黑" w:eastAsia="微软雅黑" w:cs="幼圆"/>
          <w:bCs/>
        </w:rPr>
      </w:pPr>
    </w:p>
    <w:p w14:paraId="342348CE">
      <w:pPr>
        <w:tabs>
          <w:tab w:val="left" w:pos="6418"/>
        </w:tabs>
        <w:jc w:val="left"/>
        <w:rPr>
          <w:rFonts w:ascii="微软雅黑" w:hAnsi="微软雅黑" w:eastAsia="微软雅黑" w:cs="幼圆"/>
          <w:bCs/>
        </w:rPr>
      </w:pPr>
    </w:p>
    <w:p w14:paraId="107CAE6B">
      <w:pPr>
        <w:tabs>
          <w:tab w:val="left" w:pos="6418"/>
        </w:tabs>
        <w:jc w:val="left"/>
        <w:rPr>
          <w:rFonts w:ascii="微软雅黑" w:hAnsi="微软雅黑" w:eastAsia="微软雅黑" w:cs="幼圆"/>
          <w:bCs/>
        </w:rPr>
      </w:pPr>
    </w:p>
    <w:p w14:paraId="2B58225E">
      <w:pPr>
        <w:tabs>
          <w:tab w:val="left" w:pos="6418"/>
        </w:tabs>
        <w:jc w:val="left"/>
        <w:rPr>
          <w:rFonts w:ascii="微软雅黑" w:hAnsi="微软雅黑" w:eastAsia="微软雅黑" w:cs="幼圆"/>
          <w:bCs/>
        </w:rPr>
      </w:pPr>
    </w:p>
    <w:p w14:paraId="7E3B5716">
      <w:pPr>
        <w:tabs>
          <w:tab w:val="left" w:pos="6418"/>
        </w:tabs>
        <w:jc w:val="left"/>
        <w:rPr>
          <w:rFonts w:ascii="微软雅黑" w:hAnsi="微软雅黑" w:eastAsia="微软雅黑" w:cs="幼圆"/>
          <w:bCs/>
        </w:rPr>
      </w:pPr>
    </w:p>
    <w:p w14:paraId="1ACF21A4">
      <w:pPr>
        <w:tabs>
          <w:tab w:val="left" w:pos="6418"/>
        </w:tabs>
        <w:jc w:val="left"/>
        <w:rPr>
          <w:rFonts w:ascii="微软雅黑" w:hAnsi="微软雅黑" w:eastAsia="微软雅黑" w:cs="幼圆"/>
          <w:bCs/>
        </w:rPr>
      </w:pPr>
    </w:p>
    <w:p w14:paraId="3F9C077D">
      <w:pPr>
        <w:tabs>
          <w:tab w:val="left" w:pos="6418"/>
        </w:tabs>
        <w:jc w:val="left"/>
        <w:rPr>
          <w:rFonts w:ascii="微软雅黑" w:hAnsi="微软雅黑" w:eastAsia="微软雅黑" w:cs="幼圆"/>
          <w:bCs/>
        </w:rPr>
      </w:pPr>
    </w:p>
    <w:p w14:paraId="0CA163CA">
      <w:pPr>
        <w:tabs>
          <w:tab w:val="left" w:pos="6418"/>
        </w:tabs>
        <w:jc w:val="left"/>
        <w:rPr>
          <w:rFonts w:ascii="微软雅黑" w:hAnsi="微软雅黑" w:eastAsia="微软雅黑" w:cs="幼圆"/>
          <w:b/>
          <w:bCs/>
        </w:rPr>
      </w:pPr>
      <w:r>
        <w:rPr>
          <w:rFonts w:ascii="微软雅黑" w:hAnsi="微软雅黑" w:eastAsia="微软雅黑" w:cs="幼圆"/>
          <w:b/>
          <w:bCs/>
        </w:rPr>
        <w:t>招聘岗位详细说明：</w:t>
      </w:r>
    </w:p>
    <w:p w14:paraId="42053E1A">
      <w:pPr>
        <w:pStyle w:val="22"/>
        <w:spacing w:line="400" w:lineRule="exact"/>
        <w:jc w:val="both"/>
        <w:rPr>
          <w:rFonts w:ascii="微软雅黑" w:hAnsi="微软雅黑" w:eastAsia="微软雅黑" w:cs="Times New Roman"/>
          <w:b/>
          <w:color w:val="auto"/>
          <w:kern w:val="2"/>
          <w:sz w:val="22"/>
        </w:rPr>
      </w:pPr>
      <w:bookmarkStart w:id="8" w:name="OLE_LINK17"/>
      <w:bookmarkStart w:id="9" w:name="OLE_LINK18"/>
      <w:bookmarkStart w:id="10" w:name="OLE_LINK12"/>
      <w:bookmarkStart w:id="11" w:name="OLE_LINK13"/>
      <w:bookmarkStart w:id="12" w:name="OLE_LINK23"/>
      <w:r>
        <w:rPr>
          <w:rFonts w:hint="eastAsia" w:ascii="微软雅黑" w:hAnsi="微软雅黑" w:eastAsia="微软雅黑" w:cs="Times New Roman"/>
          <w:b/>
          <w:color w:val="auto"/>
          <w:kern w:val="2"/>
          <w:sz w:val="22"/>
        </w:rPr>
        <w:t>项目管理：管家类管培生</w:t>
      </w:r>
      <w:bookmarkEnd w:id="8"/>
      <w:bookmarkEnd w:id="9"/>
      <w:bookmarkEnd w:id="10"/>
      <w:bookmarkEnd w:id="11"/>
    </w:p>
    <w:p w14:paraId="326C06CD">
      <w:pPr>
        <w:pStyle w:val="22"/>
        <w:spacing w:line="400" w:lineRule="exact"/>
        <w:rPr>
          <w:rFonts w:ascii="微软雅黑" w:hAnsi="微软雅黑" w:eastAsia="微软雅黑" w:cs="Times New Roman"/>
          <w:color w:val="auto"/>
          <w:kern w:val="2"/>
          <w:sz w:val="21"/>
          <w:szCs w:val="21"/>
        </w:rPr>
      </w:pPr>
      <w:bookmarkStart w:id="13" w:name="OLE_LINK15"/>
      <w:bookmarkStart w:id="14" w:name="OLE_LINK14"/>
      <w:r>
        <w:rPr>
          <w:rFonts w:hint="eastAsia" w:ascii="微软雅黑" w:hAnsi="微软雅黑" w:eastAsia="微软雅黑" w:cs="Times New Roman"/>
          <w:color w:val="auto"/>
          <w:kern w:val="2"/>
          <w:sz w:val="21"/>
          <w:szCs w:val="21"/>
        </w:rPr>
        <w:t>岗位职责</w:t>
      </w:r>
      <w:r>
        <w:rPr>
          <w:rFonts w:hint="eastAsia" w:ascii="微软雅黑" w:hAnsi="微软雅黑" w:eastAsia="微软雅黑" w:cs="宋体"/>
          <w:szCs w:val="21"/>
        </w:rPr>
        <w:t>：</w:t>
      </w:r>
    </w:p>
    <w:p w14:paraId="2EDBD913">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1.通过现场巡场、对现场专业服务单元的管理等动作，实现现场品质监管，及时发现解决问题，提升基础服务品质；</w:t>
      </w:r>
    </w:p>
    <w:p w14:paraId="6BDE7DF4">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2.负责所辖区域内客户信息的完善及动态管理，及时发现并相应客户需求，与客户保持良好的沟通和联系，建立提升客户满意度与客户粘性；</w:t>
      </w:r>
    </w:p>
    <w:p w14:paraId="14F8E67C">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3.负责所辖区域内主营业务落地执行，对主营指标负责，协助资源型增值服务业务落地；</w:t>
      </w:r>
    </w:p>
    <w:p w14:paraId="76EBFD5C">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4.协调组织、督促、跟进物业服务各类社区活动，满足客户需求，提升客户服务感受；</w:t>
      </w:r>
    </w:p>
    <w:p w14:paraId="73550CDD">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任职要求</w:t>
      </w:r>
      <w:r>
        <w:rPr>
          <w:rFonts w:hint="eastAsia" w:ascii="微软雅黑" w:hAnsi="微软雅黑" w:eastAsia="微软雅黑" w:cs="宋体"/>
          <w:szCs w:val="21"/>
        </w:rPr>
        <w:t>：</w:t>
      </w:r>
    </w:p>
    <w:p w14:paraId="2CFDEA50">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1.统招本科及以上学历，物业管理、旅游管理、酒店管理等相关专业优先；</w:t>
      </w:r>
    </w:p>
    <w:p w14:paraId="00CE6C77">
      <w:pPr>
        <w:pStyle w:val="22"/>
        <w:spacing w:line="400" w:lineRule="exact"/>
        <w:rPr>
          <w:rFonts w:ascii="微软雅黑" w:hAnsi="微软雅黑" w:eastAsia="微软雅黑" w:cs="Times New Roman"/>
          <w:color w:val="auto"/>
          <w:kern w:val="2"/>
          <w:sz w:val="21"/>
          <w:szCs w:val="21"/>
        </w:rPr>
      </w:pPr>
      <w:r>
        <w:rPr>
          <w:rFonts w:hint="eastAsia" w:ascii="微软雅黑" w:hAnsi="微软雅黑" w:eastAsia="微软雅黑" w:cs="Times New Roman"/>
          <w:color w:val="auto"/>
          <w:kern w:val="2"/>
          <w:sz w:val="21"/>
          <w:szCs w:val="21"/>
        </w:rPr>
        <w:t>2.具有亲和力，良好的沟通及协调能力；较强的服务意识和高度的责任心。</w:t>
      </w:r>
    </w:p>
    <w:bookmarkEnd w:id="13"/>
    <w:bookmarkEnd w:id="14"/>
    <w:p w14:paraId="67CC6DE9">
      <w:pPr>
        <w:spacing w:line="400" w:lineRule="exact"/>
        <w:jc w:val="left"/>
        <w:rPr>
          <w:rFonts w:ascii="微软雅黑" w:hAnsi="微软雅黑" w:eastAsia="微软雅黑" w:cs="Times New Roman"/>
          <w:szCs w:val="21"/>
        </w:rPr>
      </w:pPr>
    </w:p>
    <w:p w14:paraId="6E0B75D6">
      <w:pPr>
        <w:widowControl/>
        <w:spacing w:line="0" w:lineRule="atLeast"/>
        <w:rPr>
          <w:rFonts w:ascii="微软雅黑" w:hAnsi="微软雅黑" w:eastAsia="微软雅黑" w:cs="宋体"/>
          <w:b/>
          <w:kern w:val="0"/>
          <w:sz w:val="24"/>
        </w:rPr>
      </w:pPr>
      <w:bookmarkStart w:id="15" w:name="OLE_LINK11"/>
      <w:r>
        <w:rPr>
          <w:rFonts w:hint="eastAsia" w:ascii="微软雅黑" w:hAnsi="微软雅黑" w:eastAsia="微软雅黑" w:cs="Times New Roman"/>
          <w:b/>
          <w:sz w:val="22"/>
        </w:rPr>
        <w:t>项目管理：</w:t>
      </w:r>
      <w:r>
        <w:rPr>
          <w:rFonts w:hint="eastAsia" w:ascii="微软雅黑" w:hAnsi="微软雅黑" w:eastAsia="微软雅黑" w:cs="宋体"/>
          <w:b/>
          <w:kern w:val="0"/>
          <w:sz w:val="24"/>
        </w:rPr>
        <w:t>工程类管培生</w:t>
      </w:r>
      <w:bookmarkEnd w:id="15"/>
    </w:p>
    <w:p w14:paraId="794FB790">
      <w:pPr>
        <w:widowControl/>
        <w:spacing w:line="0" w:lineRule="atLeast"/>
        <w:rPr>
          <w:rFonts w:ascii="微软雅黑" w:hAnsi="微软雅黑" w:eastAsia="微软雅黑" w:cs="宋体"/>
          <w:kern w:val="0"/>
          <w:szCs w:val="21"/>
        </w:rPr>
      </w:pPr>
      <w:bookmarkStart w:id="16" w:name="OLE_LINK19"/>
      <w:r>
        <w:rPr>
          <w:rFonts w:hint="eastAsia" w:ascii="微软雅黑" w:hAnsi="微软雅黑" w:eastAsia="微软雅黑" w:cs="宋体"/>
          <w:kern w:val="0"/>
          <w:szCs w:val="21"/>
        </w:rPr>
        <w:t>职位描述：</w:t>
      </w:r>
    </w:p>
    <w:p w14:paraId="5627ED5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1.根据总部及区域下达的体系制度，做好项目工程设施设备管理，确保项目设施设备的正常运行；</w:t>
      </w:r>
    </w:p>
    <w:p w14:paraId="2E79CE5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2.管控项目电梯、消防、智能化运行，根据上级公司要求的规范流程，降低设施设备的运行风险；</w:t>
      </w:r>
    </w:p>
    <w:p w14:paraId="515AE868">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3.定期项目各地块消防、电梯、智能化运行情况的核实，督导各项目设备运行的不合格项整改；</w:t>
      </w:r>
    </w:p>
    <w:p w14:paraId="7ADD5898">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4.完成区域及项目经理交办的其他工作；</w:t>
      </w:r>
    </w:p>
    <w:p w14:paraId="35E1004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任职要求：</w:t>
      </w:r>
    </w:p>
    <w:p w14:paraId="6678EC5A">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1.统招本科及以上学历,工程类相关专业优先；</w:t>
      </w:r>
    </w:p>
    <w:p w14:paraId="7E25673F">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2.踏实稳重、善于思考、执行力强；</w:t>
      </w:r>
    </w:p>
    <w:p w14:paraId="6FEEB55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3.逻辑性好、条理清晰、学习能力强、认同世茂价值观；</w:t>
      </w:r>
    </w:p>
    <w:bookmarkEnd w:id="16"/>
    <w:p w14:paraId="454F6A49">
      <w:pPr>
        <w:spacing w:line="400" w:lineRule="exact"/>
        <w:jc w:val="left"/>
        <w:rPr>
          <w:rFonts w:ascii="微软雅黑" w:hAnsi="微软雅黑" w:eastAsia="微软雅黑" w:cs="Times New Roman"/>
          <w:szCs w:val="21"/>
        </w:rPr>
      </w:pPr>
    </w:p>
    <w:p w14:paraId="5A7247B3">
      <w:pPr>
        <w:widowControl/>
        <w:spacing w:line="0" w:lineRule="atLeast"/>
        <w:rPr>
          <w:rFonts w:ascii="微软雅黑" w:hAnsi="微软雅黑" w:eastAsia="微软雅黑" w:cs="宋体"/>
          <w:b/>
          <w:kern w:val="0"/>
          <w:sz w:val="24"/>
        </w:rPr>
      </w:pPr>
      <w:bookmarkStart w:id="17" w:name="OLE_LINK5"/>
      <w:bookmarkStart w:id="18" w:name="OLE_LINK6"/>
    </w:p>
    <w:p w14:paraId="620A6DB8">
      <w:pPr>
        <w:widowControl/>
        <w:spacing w:line="0" w:lineRule="atLeast"/>
        <w:rPr>
          <w:rFonts w:ascii="微软雅黑" w:hAnsi="微软雅黑" w:eastAsia="微软雅黑" w:cs="宋体"/>
          <w:b/>
          <w:kern w:val="0"/>
          <w:sz w:val="24"/>
        </w:rPr>
      </w:pPr>
      <w:r>
        <w:rPr>
          <w:rFonts w:hint="eastAsia" w:ascii="微软雅黑" w:hAnsi="微软雅黑" w:eastAsia="微软雅黑" w:cs="Times New Roman"/>
          <w:b/>
          <w:sz w:val="22"/>
        </w:rPr>
        <w:t>项目管理：</w:t>
      </w:r>
      <w:r>
        <w:rPr>
          <w:rFonts w:hint="eastAsia" w:ascii="微软雅黑" w:hAnsi="微软雅黑" w:eastAsia="微软雅黑" w:cs="宋体"/>
          <w:b/>
          <w:kern w:val="0"/>
          <w:sz w:val="24"/>
        </w:rPr>
        <w:t>环境类管培生</w:t>
      </w:r>
      <w:bookmarkEnd w:id="17"/>
      <w:bookmarkEnd w:id="18"/>
    </w:p>
    <w:p w14:paraId="3F085B59">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职位描述：</w:t>
      </w:r>
    </w:p>
    <w:p w14:paraId="65FC7E1C">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1.每周组织条线对现场品质检查，并对检查内容监督整改；</w:t>
      </w:r>
    </w:p>
    <w:p w14:paraId="15493BB6">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2.对外判单位在岗情况予以监督，按照合同履行相关工作，定期考核，禁止与合同内容不符；</w:t>
      </w:r>
    </w:p>
    <w:p w14:paraId="6A4348AE">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3.严格按照公司组织架构及体系文件贯穿、交叉把控现场品质，做好体系审核及存档工作；</w:t>
      </w:r>
    </w:p>
    <w:p w14:paraId="6448236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任职要求：</w:t>
      </w:r>
    </w:p>
    <w:p w14:paraId="7A1F6008">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1.统招本科及以上学历，园林、植物、绿化相关专业优先；</w:t>
      </w:r>
    </w:p>
    <w:p w14:paraId="5815C20A">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2.细心认真、观察力强、执行力强；</w:t>
      </w:r>
    </w:p>
    <w:p w14:paraId="37449464">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3.善于沟通协调、学习能力强、认同世茂价值观；</w:t>
      </w:r>
    </w:p>
    <w:p w14:paraId="025AAAC4">
      <w:pPr>
        <w:spacing w:line="400" w:lineRule="exact"/>
        <w:jc w:val="left"/>
        <w:rPr>
          <w:rFonts w:ascii="微软雅黑" w:hAnsi="微软雅黑" w:eastAsia="微软雅黑" w:cs="Times New Roman"/>
          <w:szCs w:val="21"/>
        </w:rPr>
      </w:pPr>
    </w:p>
    <w:p w14:paraId="43F9EE42">
      <w:pPr>
        <w:widowControl/>
        <w:spacing w:line="0" w:lineRule="atLeast"/>
        <w:rPr>
          <w:rFonts w:ascii="微软雅黑" w:hAnsi="微软雅黑" w:eastAsia="微软雅黑" w:cs="宋体"/>
          <w:b/>
          <w:kern w:val="0"/>
          <w:sz w:val="24"/>
        </w:rPr>
      </w:pPr>
      <w:r>
        <w:rPr>
          <w:rFonts w:hint="eastAsia" w:ascii="微软雅黑" w:hAnsi="微软雅黑" w:eastAsia="微软雅黑" w:cs="宋体"/>
          <w:b/>
          <w:kern w:val="0"/>
          <w:sz w:val="24"/>
        </w:rPr>
        <w:t>业务品质类管培生</w:t>
      </w:r>
    </w:p>
    <w:p w14:paraId="3CDA6C54">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职位描述：</w:t>
      </w:r>
    </w:p>
    <w:p w14:paraId="0C582EE0">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1.根据集团品质运营要求，组织建立服务质量督导体系、制定品质保障计划、执行与管理制度，并负责相关标准、制度的宣贯；</w:t>
      </w:r>
    </w:p>
    <w:p w14:paraId="1594FBD2">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2.负责品质优化和提升计划，并推动实施,组织品质督导、质量检查工作；</w:t>
      </w:r>
    </w:p>
    <w:p w14:paraId="34E3C59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3.按照集团客户满意度建设要求，拟定客户满意度提升计划，负责满意度调研的组织实施、结果分析和优化；</w:t>
      </w:r>
    </w:p>
    <w:p w14:paraId="3085FC11">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4.对公司范围内项目进行基础服务的专业业务指导、技能培训和提升；</w:t>
      </w:r>
    </w:p>
    <w:p w14:paraId="5427D17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任职要求：</w:t>
      </w:r>
    </w:p>
    <w:p w14:paraId="346E37F6">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 统招本科及以上学历，专业不限；</w:t>
      </w:r>
    </w:p>
    <w:p w14:paraId="33FC92A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2.正能量，具有同理心，善于沟通协调；</w:t>
      </w:r>
    </w:p>
    <w:p w14:paraId="33B5F198">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3.善于思考学习，头脑灵活，具有系统思考能力，</w:t>
      </w:r>
    </w:p>
    <w:p w14:paraId="15AB19A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4.抗压能力强，有较强的内驱力；</w:t>
      </w:r>
    </w:p>
    <w:p w14:paraId="06FFE6A9">
      <w:pPr>
        <w:spacing w:line="400" w:lineRule="exact"/>
        <w:jc w:val="left"/>
        <w:rPr>
          <w:rFonts w:ascii="微软雅黑" w:hAnsi="微软雅黑" w:eastAsia="微软雅黑"/>
          <w:bCs/>
        </w:rPr>
      </w:pPr>
    </w:p>
    <w:p w14:paraId="1BCD18B9">
      <w:pPr>
        <w:widowControl/>
        <w:spacing w:line="0" w:lineRule="atLeast"/>
        <w:rPr>
          <w:rFonts w:ascii="微软雅黑" w:hAnsi="微软雅黑" w:eastAsia="微软雅黑" w:cs="宋体"/>
          <w:b/>
          <w:kern w:val="0"/>
          <w:sz w:val="24"/>
        </w:rPr>
      </w:pPr>
      <w:bookmarkStart w:id="19" w:name="OLE_LINK27"/>
      <w:bookmarkStart w:id="20" w:name="OLE_LINK31"/>
      <w:r>
        <w:rPr>
          <w:rFonts w:hint="eastAsia" w:ascii="微软雅黑" w:hAnsi="微软雅黑" w:eastAsia="微软雅黑" w:cs="宋体"/>
          <w:b/>
          <w:kern w:val="0"/>
          <w:sz w:val="24"/>
        </w:rPr>
        <w:t>市场拓展类管培生</w:t>
      </w:r>
    </w:p>
    <w:bookmarkEnd w:id="19"/>
    <w:bookmarkEnd w:id="20"/>
    <w:p w14:paraId="59BA8429">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职位描述：</w:t>
      </w:r>
    </w:p>
    <w:p w14:paraId="11A2EF04">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1.通过对外项目的拓展，提升世茂服务品牌价值与市场价值，建设世茂服务品牌；</w:t>
      </w:r>
    </w:p>
    <w:p w14:paraId="7381D3A5">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2.负责对外的项目拓展、城市服务发展趋势、投资收并购机会分析，负责项目风险、经济价值分析研判等工作；</w:t>
      </w:r>
    </w:p>
    <w:p w14:paraId="14323AFF">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3.负责市场及周边地区信息、竞争对手的信息筛选及分析评估，市场资源跟进及落地转化工作；</w:t>
      </w:r>
    </w:p>
    <w:p w14:paraId="193E7BDE">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4.完善部门管理制度与体系，根据公司战略与业务发展，规划、制定、组织、落实各项职能工作；</w:t>
      </w:r>
    </w:p>
    <w:p w14:paraId="06B0831F">
      <w:pPr>
        <w:widowControl/>
        <w:spacing w:line="0" w:lineRule="atLeast"/>
        <w:rPr>
          <w:rFonts w:ascii="微软雅黑" w:hAnsi="微软雅黑" w:eastAsia="微软雅黑" w:cs="宋体"/>
          <w:kern w:val="0"/>
          <w:szCs w:val="21"/>
        </w:rPr>
      </w:pPr>
      <w:bookmarkStart w:id="21" w:name="OLE_LINK28"/>
      <w:r>
        <w:rPr>
          <w:rFonts w:hint="eastAsia" w:ascii="微软雅黑" w:hAnsi="微软雅黑" w:eastAsia="微软雅黑" w:cs="宋体"/>
          <w:kern w:val="0"/>
          <w:szCs w:val="21"/>
        </w:rPr>
        <w:t>任职要求：</w:t>
      </w:r>
    </w:p>
    <w:p w14:paraId="5C314D8D">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 统招本科及以上学历，专业不限；</w:t>
      </w:r>
    </w:p>
    <w:p w14:paraId="0B0FA85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2.具备优秀的问题分析及总结能力，较强的洞察能力，可以敏锐感知市场变化；</w:t>
      </w:r>
    </w:p>
    <w:p w14:paraId="223BE4B2">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3.头脑灵活，交际能力强，擅长调动、整合资源；</w:t>
      </w:r>
    </w:p>
    <w:p w14:paraId="39A04AB3">
      <w:pPr>
        <w:widowControl/>
        <w:spacing w:line="0" w:lineRule="atLeast"/>
        <w:rPr>
          <w:rFonts w:ascii="微软雅黑" w:hAnsi="微软雅黑" w:eastAsia="微软雅黑" w:cs="宋体"/>
          <w:kern w:val="0"/>
          <w:szCs w:val="21"/>
        </w:rPr>
      </w:pPr>
    </w:p>
    <w:p w14:paraId="595CAD84">
      <w:pPr>
        <w:widowControl/>
        <w:spacing w:line="0" w:lineRule="atLeast"/>
        <w:rPr>
          <w:rFonts w:ascii="微软雅黑" w:hAnsi="微软雅黑" w:eastAsia="微软雅黑" w:cs="宋体"/>
          <w:b/>
          <w:kern w:val="0"/>
          <w:sz w:val="24"/>
        </w:rPr>
      </w:pPr>
      <w:r>
        <w:rPr>
          <w:rFonts w:hint="eastAsia" w:ascii="微软雅黑" w:hAnsi="微软雅黑" w:eastAsia="微软雅黑" w:cs="宋体"/>
          <w:b/>
          <w:kern w:val="0"/>
          <w:sz w:val="24"/>
        </w:rPr>
        <w:t>人力资源类管培生</w:t>
      </w:r>
    </w:p>
    <w:bookmarkEnd w:id="12"/>
    <w:bookmarkEnd w:id="21"/>
    <w:p w14:paraId="7B73D9D5">
      <w:pPr>
        <w:widowControl/>
        <w:spacing w:line="0" w:lineRule="atLeast"/>
        <w:rPr>
          <w:rFonts w:ascii="微软雅黑" w:hAnsi="微软雅黑" w:eastAsia="微软雅黑" w:cs="宋体"/>
          <w:kern w:val="0"/>
          <w:szCs w:val="21"/>
        </w:rPr>
      </w:pPr>
      <w:r>
        <w:rPr>
          <w:rFonts w:ascii="MS Gothic" w:hAnsi="MS Gothic" w:eastAsia="微软雅黑" w:cs="MS Gothic"/>
          <w:bCs/>
        </w:rPr>
        <w:t>​</w:t>
      </w:r>
      <w:r>
        <w:rPr>
          <w:rFonts w:hint="eastAsia" w:ascii="微软雅黑" w:hAnsi="微软雅黑" w:eastAsia="微软雅黑" w:cs="宋体"/>
          <w:kern w:val="0"/>
          <w:szCs w:val="21"/>
        </w:rPr>
        <w:t>职位描述：</w:t>
      </w:r>
    </w:p>
    <w:p w14:paraId="4A51CF06">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1.结合公司战略发展目标，推动业务落地，引导组织发展，提高组织竞争力；</w:t>
      </w:r>
    </w:p>
    <w:p w14:paraId="4688ADCE">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2.根据公司战略与业务发展，规划、制定、组织、落实各项职能工作；</w:t>
      </w:r>
    </w:p>
    <w:p w14:paraId="08A4432E">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3.负责完成培训发展、绩效评估、薪酬福利、员工招聘、企业文化、员工关系等各人力行政管理工作；</w:t>
      </w:r>
    </w:p>
    <w:p w14:paraId="7DD4FABC">
      <w:pPr>
        <w:widowControl/>
        <w:spacing w:line="0" w:lineRule="atLeast"/>
        <w:rPr>
          <w:rFonts w:ascii="微软雅黑" w:hAnsi="微软雅黑" w:eastAsia="微软雅黑" w:cs="宋体"/>
          <w:kern w:val="0"/>
          <w:szCs w:val="21"/>
        </w:rPr>
      </w:pPr>
      <w:r>
        <w:rPr>
          <w:rFonts w:ascii="MS Gothic" w:hAnsi="MS Gothic" w:eastAsia="微软雅黑" w:cs="MS Gothic"/>
          <w:bCs/>
        </w:rPr>
        <w:t>​</w:t>
      </w:r>
      <w:r>
        <w:rPr>
          <w:rFonts w:hint="eastAsia" w:ascii="微软雅黑" w:hAnsi="微软雅黑" w:eastAsia="微软雅黑" w:cs="宋体"/>
          <w:kern w:val="0"/>
          <w:szCs w:val="21"/>
        </w:rPr>
        <w:t>任职要求：</w:t>
      </w:r>
    </w:p>
    <w:p w14:paraId="45B37C68">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1.统招本科及以上学历，专业不限，统计学、人力资源管理、行政管理、企业管理、心理学等相关专业优先；</w:t>
      </w:r>
    </w:p>
    <w:p w14:paraId="1565B86E">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2.正能量，具有同理心，善于沟通交流，有强烈的发展意愿；</w:t>
      </w:r>
    </w:p>
    <w:p w14:paraId="18896061">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3.具备一定的抗压能力、组织协调能力及大局观；</w:t>
      </w:r>
    </w:p>
    <w:p w14:paraId="09327C19">
      <w:pPr>
        <w:widowControl/>
        <w:spacing w:line="0" w:lineRule="atLeast"/>
        <w:rPr>
          <w:rFonts w:ascii="微软雅黑" w:hAnsi="微软雅黑" w:eastAsia="微软雅黑" w:cs="宋体"/>
          <w:b/>
          <w:kern w:val="0"/>
          <w:sz w:val="24"/>
        </w:rPr>
      </w:pPr>
    </w:p>
    <w:p w14:paraId="56236F91">
      <w:pPr>
        <w:widowControl/>
        <w:spacing w:line="0" w:lineRule="atLeast"/>
        <w:rPr>
          <w:rFonts w:ascii="微软雅黑" w:hAnsi="微软雅黑" w:eastAsia="微软雅黑" w:cs="宋体"/>
          <w:b/>
          <w:kern w:val="0"/>
          <w:sz w:val="24"/>
        </w:rPr>
      </w:pPr>
      <w:r>
        <w:rPr>
          <w:rFonts w:hint="eastAsia" w:ascii="微软雅黑" w:hAnsi="微软雅黑" w:eastAsia="微软雅黑" w:cs="宋体"/>
          <w:b/>
          <w:kern w:val="0"/>
          <w:sz w:val="24"/>
        </w:rPr>
        <w:t>新零售业务类实习岗</w:t>
      </w:r>
    </w:p>
    <w:p w14:paraId="48F1646D">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职位描述：</w:t>
      </w:r>
    </w:p>
    <w:p w14:paraId="7B4B2525">
      <w:pPr>
        <w:pStyle w:val="17"/>
        <w:widowControl/>
        <w:numPr>
          <w:ilvl w:val="0"/>
          <w:numId w:val="1"/>
        </w:numPr>
        <w:spacing w:line="0" w:lineRule="atLeast"/>
        <w:ind w:firstLineChars="0"/>
        <w:rPr>
          <w:rFonts w:ascii="微软雅黑" w:hAnsi="微软雅黑" w:eastAsia="微软雅黑" w:cs="宋体"/>
          <w:kern w:val="0"/>
          <w:szCs w:val="21"/>
        </w:rPr>
      </w:pPr>
      <w:r>
        <w:rPr>
          <w:rFonts w:hint="eastAsia" w:ascii="微软雅黑" w:hAnsi="微软雅黑" w:eastAsia="微软雅黑" w:cs="宋体"/>
          <w:kern w:val="0"/>
          <w:szCs w:val="21"/>
        </w:rPr>
        <w:t>协助上级开展物业增值服务社区运营板块中的新零售业务开展；</w:t>
      </w:r>
    </w:p>
    <w:p w14:paraId="266F16D9">
      <w:pPr>
        <w:pStyle w:val="17"/>
        <w:widowControl/>
        <w:numPr>
          <w:ilvl w:val="0"/>
          <w:numId w:val="1"/>
        </w:numPr>
        <w:spacing w:line="0" w:lineRule="atLeast"/>
        <w:ind w:firstLineChars="0"/>
        <w:rPr>
          <w:rFonts w:ascii="微软雅黑" w:hAnsi="微软雅黑" w:eastAsia="微软雅黑" w:cs="宋体"/>
          <w:kern w:val="0"/>
          <w:szCs w:val="21"/>
        </w:rPr>
      </w:pPr>
      <w:r>
        <w:rPr>
          <w:rFonts w:hint="eastAsia" w:ascii="微软雅黑" w:hAnsi="微软雅黑" w:eastAsia="微软雅黑" w:cs="宋体"/>
          <w:kern w:val="0"/>
          <w:szCs w:val="21"/>
        </w:rPr>
        <w:t>线上平台运营：负责小程序平台的运营、 SKU 维护，提升用户体验；</w:t>
      </w:r>
    </w:p>
    <w:p w14:paraId="5E9B576D">
      <w:pPr>
        <w:pStyle w:val="17"/>
        <w:widowControl/>
        <w:numPr>
          <w:ilvl w:val="0"/>
          <w:numId w:val="1"/>
        </w:numPr>
        <w:spacing w:line="0" w:lineRule="atLeast"/>
        <w:ind w:firstLineChars="0"/>
        <w:rPr>
          <w:rFonts w:ascii="微软雅黑" w:hAnsi="微软雅黑" w:eastAsia="微软雅黑" w:cs="宋体"/>
          <w:kern w:val="0"/>
          <w:szCs w:val="21"/>
        </w:rPr>
      </w:pPr>
      <w:r>
        <w:rPr>
          <w:rFonts w:hint="eastAsia" w:ascii="微软雅黑" w:hAnsi="微软雅黑" w:eastAsia="微软雅黑" w:cs="宋体"/>
          <w:kern w:val="0"/>
          <w:szCs w:val="21"/>
        </w:rPr>
        <w:t>招商及商品管理：负责商品招商选品、采购、库存管理、供应商结算对接；</w:t>
      </w:r>
    </w:p>
    <w:p w14:paraId="7310DE6C">
      <w:pPr>
        <w:pStyle w:val="17"/>
        <w:widowControl/>
        <w:numPr>
          <w:ilvl w:val="0"/>
          <w:numId w:val="1"/>
        </w:numPr>
        <w:spacing w:line="0" w:lineRule="atLeast"/>
        <w:ind w:firstLineChars="0"/>
        <w:rPr>
          <w:rFonts w:ascii="微软雅黑" w:hAnsi="微软雅黑" w:eastAsia="微软雅黑" w:cs="宋体"/>
          <w:kern w:val="0"/>
          <w:szCs w:val="21"/>
        </w:rPr>
      </w:pPr>
      <w:r>
        <w:rPr>
          <w:rFonts w:hint="eastAsia" w:ascii="微软雅黑" w:hAnsi="微软雅黑" w:eastAsia="微软雅黑" w:cs="宋体"/>
          <w:kern w:val="0"/>
          <w:szCs w:val="21"/>
        </w:rPr>
        <w:t>负责平台的日常出账、对账工作。</w:t>
      </w:r>
    </w:p>
    <w:p w14:paraId="03377B0D">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任职要求：</w:t>
      </w:r>
    </w:p>
    <w:p w14:paraId="1D91D47B">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1.本科及以上学历，优先</w:t>
      </w:r>
      <w:r>
        <w:rPr>
          <w:rFonts w:ascii="微软雅黑" w:hAnsi="微软雅黑" w:eastAsia="微软雅黑" w:cs="宋体"/>
          <w:kern w:val="0"/>
          <w:szCs w:val="21"/>
        </w:rPr>
        <w:t>11月起可以实习的同学</w:t>
      </w:r>
      <w:r>
        <w:rPr>
          <w:rFonts w:hint="eastAsia" w:ascii="微软雅黑" w:hAnsi="微软雅黑" w:eastAsia="微软雅黑" w:cs="宋体"/>
          <w:kern w:val="0"/>
          <w:szCs w:val="21"/>
        </w:rPr>
        <w:t>，专业不限，财务管理、市场营销、物业管理等相关专业优先；</w:t>
      </w:r>
    </w:p>
    <w:p w14:paraId="120CB217">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2.较强的数据处理能力</w:t>
      </w:r>
    </w:p>
    <w:p w14:paraId="58BA9B33">
      <w:pPr>
        <w:widowControl/>
        <w:spacing w:line="0" w:lineRule="atLeast"/>
        <w:rPr>
          <w:rFonts w:ascii="微软雅黑" w:hAnsi="微软雅黑" w:eastAsia="微软雅黑" w:cs="宋体"/>
          <w:kern w:val="0"/>
          <w:szCs w:val="21"/>
        </w:rPr>
      </w:pPr>
      <w:r>
        <w:rPr>
          <w:rFonts w:hint="eastAsia" w:ascii="微软雅黑" w:hAnsi="微软雅黑" w:eastAsia="微软雅黑" w:cs="宋体"/>
          <w:kern w:val="0"/>
          <w:szCs w:val="21"/>
        </w:rPr>
        <w:t>3.地域灵活性强。</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幼圆">
    <w:panose1 w:val="0201050906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191C8F"/>
    <w:multiLevelType w:val="multilevel"/>
    <w:tmpl w:val="50191C8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xYjBlMmQ4OGIxODQ1Yjk0MjIyMTVkOGVjZGUwZGIifQ=="/>
  </w:docVars>
  <w:rsids>
    <w:rsidRoot w:val="00D455E5"/>
    <w:rsid w:val="00003322"/>
    <w:rsid w:val="00011180"/>
    <w:rsid w:val="00011304"/>
    <w:rsid w:val="00013B0C"/>
    <w:rsid w:val="00014940"/>
    <w:rsid w:val="00023277"/>
    <w:rsid w:val="0002362B"/>
    <w:rsid w:val="000573A8"/>
    <w:rsid w:val="00065FAB"/>
    <w:rsid w:val="00082EE2"/>
    <w:rsid w:val="00084033"/>
    <w:rsid w:val="00091D05"/>
    <w:rsid w:val="000950E4"/>
    <w:rsid w:val="000C075F"/>
    <w:rsid w:val="000C2B3E"/>
    <w:rsid w:val="000C6134"/>
    <w:rsid w:val="000D22BC"/>
    <w:rsid w:val="000D2792"/>
    <w:rsid w:val="000D36A7"/>
    <w:rsid w:val="000D3E59"/>
    <w:rsid w:val="000D4714"/>
    <w:rsid w:val="000E129B"/>
    <w:rsid w:val="000E294F"/>
    <w:rsid w:val="000F03E3"/>
    <w:rsid w:val="000F2E38"/>
    <w:rsid w:val="000F3592"/>
    <w:rsid w:val="0010614C"/>
    <w:rsid w:val="001124C1"/>
    <w:rsid w:val="00112D9C"/>
    <w:rsid w:val="00115207"/>
    <w:rsid w:val="00122247"/>
    <w:rsid w:val="00137388"/>
    <w:rsid w:val="00143D7F"/>
    <w:rsid w:val="00150BED"/>
    <w:rsid w:val="0015245F"/>
    <w:rsid w:val="00162AAB"/>
    <w:rsid w:val="0017092A"/>
    <w:rsid w:val="00172BFA"/>
    <w:rsid w:val="00173942"/>
    <w:rsid w:val="00173A4E"/>
    <w:rsid w:val="00174A60"/>
    <w:rsid w:val="00183B7F"/>
    <w:rsid w:val="00190072"/>
    <w:rsid w:val="001A2AB8"/>
    <w:rsid w:val="001A5236"/>
    <w:rsid w:val="001B0D97"/>
    <w:rsid w:val="001B5FBA"/>
    <w:rsid w:val="001B643D"/>
    <w:rsid w:val="001B699D"/>
    <w:rsid w:val="001C0E4A"/>
    <w:rsid w:val="001C4C11"/>
    <w:rsid w:val="001D0D49"/>
    <w:rsid w:val="001D3CA2"/>
    <w:rsid w:val="001D536E"/>
    <w:rsid w:val="001E09DE"/>
    <w:rsid w:val="001E489C"/>
    <w:rsid w:val="001F3C5C"/>
    <w:rsid w:val="001F527F"/>
    <w:rsid w:val="001F69F9"/>
    <w:rsid w:val="00202EF1"/>
    <w:rsid w:val="002049B8"/>
    <w:rsid w:val="002062B1"/>
    <w:rsid w:val="00212E94"/>
    <w:rsid w:val="00221A76"/>
    <w:rsid w:val="002259A5"/>
    <w:rsid w:val="00226C86"/>
    <w:rsid w:val="00231280"/>
    <w:rsid w:val="0023552C"/>
    <w:rsid w:val="00243730"/>
    <w:rsid w:val="00244FFC"/>
    <w:rsid w:val="00250FEA"/>
    <w:rsid w:val="0025289C"/>
    <w:rsid w:val="002574F2"/>
    <w:rsid w:val="002612AB"/>
    <w:rsid w:val="0027355E"/>
    <w:rsid w:val="002776B2"/>
    <w:rsid w:val="00282501"/>
    <w:rsid w:val="0028390A"/>
    <w:rsid w:val="00284E60"/>
    <w:rsid w:val="00286EE9"/>
    <w:rsid w:val="002A4B92"/>
    <w:rsid w:val="002A4F5C"/>
    <w:rsid w:val="002B1F7C"/>
    <w:rsid w:val="002B37A4"/>
    <w:rsid w:val="002D16D9"/>
    <w:rsid w:val="002D3362"/>
    <w:rsid w:val="002D3ADC"/>
    <w:rsid w:val="002D61E3"/>
    <w:rsid w:val="002E017E"/>
    <w:rsid w:val="002E3AA6"/>
    <w:rsid w:val="002F01CF"/>
    <w:rsid w:val="002F24EA"/>
    <w:rsid w:val="002F4A10"/>
    <w:rsid w:val="002F630A"/>
    <w:rsid w:val="003112C0"/>
    <w:rsid w:val="00315F7B"/>
    <w:rsid w:val="00320BCC"/>
    <w:rsid w:val="003220EB"/>
    <w:rsid w:val="00322753"/>
    <w:rsid w:val="0032319B"/>
    <w:rsid w:val="00323586"/>
    <w:rsid w:val="0032405D"/>
    <w:rsid w:val="00325057"/>
    <w:rsid w:val="00331CF8"/>
    <w:rsid w:val="003519EF"/>
    <w:rsid w:val="00355751"/>
    <w:rsid w:val="00355B70"/>
    <w:rsid w:val="00357457"/>
    <w:rsid w:val="0036059F"/>
    <w:rsid w:val="00360988"/>
    <w:rsid w:val="00361163"/>
    <w:rsid w:val="00361BF8"/>
    <w:rsid w:val="00375EBC"/>
    <w:rsid w:val="003769B6"/>
    <w:rsid w:val="003805F1"/>
    <w:rsid w:val="0038081C"/>
    <w:rsid w:val="00380A79"/>
    <w:rsid w:val="0038126C"/>
    <w:rsid w:val="00384265"/>
    <w:rsid w:val="003913E0"/>
    <w:rsid w:val="00392F16"/>
    <w:rsid w:val="003A0F96"/>
    <w:rsid w:val="003C2EDF"/>
    <w:rsid w:val="003C5D28"/>
    <w:rsid w:val="003D3F73"/>
    <w:rsid w:val="003E0FB3"/>
    <w:rsid w:val="003E4016"/>
    <w:rsid w:val="003E58BF"/>
    <w:rsid w:val="003F7723"/>
    <w:rsid w:val="00401053"/>
    <w:rsid w:val="004058F7"/>
    <w:rsid w:val="0040651C"/>
    <w:rsid w:val="004126EA"/>
    <w:rsid w:val="0042532D"/>
    <w:rsid w:val="004300FD"/>
    <w:rsid w:val="00446C72"/>
    <w:rsid w:val="00457B30"/>
    <w:rsid w:val="0046152E"/>
    <w:rsid w:val="004626B8"/>
    <w:rsid w:val="00462CB0"/>
    <w:rsid w:val="00465D62"/>
    <w:rsid w:val="00470C70"/>
    <w:rsid w:val="0047114D"/>
    <w:rsid w:val="004A32F0"/>
    <w:rsid w:val="004A5014"/>
    <w:rsid w:val="004B113B"/>
    <w:rsid w:val="004B40A2"/>
    <w:rsid w:val="004B5687"/>
    <w:rsid w:val="004C2A07"/>
    <w:rsid w:val="004C694A"/>
    <w:rsid w:val="004D1DA5"/>
    <w:rsid w:val="004E4E63"/>
    <w:rsid w:val="004F5A31"/>
    <w:rsid w:val="00506CCC"/>
    <w:rsid w:val="00515744"/>
    <w:rsid w:val="00517799"/>
    <w:rsid w:val="00522BA6"/>
    <w:rsid w:val="00525ACD"/>
    <w:rsid w:val="005310E5"/>
    <w:rsid w:val="005352A3"/>
    <w:rsid w:val="00535C7D"/>
    <w:rsid w:val="00542912"/>
    <w:rsid w:val="005429D1"/>
    <w:rsid w:val="00543146"/>
    <w:rsid w:val="005433B8"/>
    <w:rsid w:val="00546E70"/>
    <w:rsid w:val="0054746A"/>
    <w:rsid w:val="00576212"/>
    <w:rsid w:val="0058657E"/>
    <w:rsid w:val="005915A3"/>
    <w:rsid w:val="00594147"/>
    <w:rsid w:val="005B1BD7"/>
    <w:rsid w:val="005B285B"/>
    <w:rsid w:val="005B4E0B"/>
    <w:rsid w:val="005B64F2"/>
    <w:rsid w:val="005B781B"/>
    <w:rsid w:val="005C0DD6"/>
    <w:rsid w:val="005C3652"/>
    <w:rsid w:val="005C4F27"/>
    <w:rsid w:val="005D1AEB"/>
    <w:rsid w:val="005F38CF"/>
    <w:rsid w:val="005F3D3D"/>
    <w:rsid w:val="00612972"/>
    <w:rsid w:val="00617E58"/>
    <w:rsid w:val="00622215"/>
    <w:rsid w:val="006313CC"/>
    <w:rsid w:val="00632AAC"/>
    <w:rsid w:val="00634651"/>
    <w:rsid w:val="00635870"/>
    <w:rsid w:val="00656D75"/>
    <w:rsid w:val="00664F7B"/>
    <w:rsid w:val="006655CF"/>
    <w:rsid w:val="006775CC"/>
    <w:rsid w:val="0068567B"/>
    <w:rsid w:val="00686C9B"/>
    <w:rsid w:val="00687F76"/>
    <w:rsid w:val="006A0A65"/>
    <w:rsid w:val="006A254D"/>
    <w:rsid w:val="006C75FF"/>
    <w:rsid w:val="006C7E66"/>
    <w:rsid w:val="006D141E"/>
    <w:rsid w:val="006E0AE1"/>
    <w:rsid w:val="006E3496"/>
    <w:rsid w:val="006E6AC6"/>
    <w:rsid w:val="006E6FB4"/>
    <w:rsid w:val="0070442C"/>
    <w:rsid w:val="00712BDF"/>
    <w:rsid w:val="00714347"/>
    <w:rsid w:val="0072198D"/>
    <w:rsid w:val="00722B43"/>
    <w:rsid w:val="00723F62"/>
    <w:rsid w:val="00743FFC"/>
    <w:rsid w:val="00745F6D"/>
    <w:rsid w:val="00751082"/>
    <w:rsid w:val="00755B11"/>
    <w:rsid w:val="00786F7B"/>
    <w:rsid w:val="007975B2"/>
    <w:rsid w:val="007B7BB2"/>
    <w:rsid w:val="007C6138"/>
    <w:rsid w:val="007C774E"/>
    <w:rsid w:val="007D610E"/>
    <w:rsid w:val="007D7AD7"/>
    <w:rsid w:val="007F2508"/>
    <w:rsid w:val="007F7A77"/>
    <w:rsid w:val="00801C18"/>
    <w:rsid w:val="0080734C"/>
    <w:rsid w:val="00807B98"/>
    <w:rsid w:val="008101AF"/>
    <w:rsid w:val="00811B8C"/>
    <w:rsid w:val="00827C81"/>
    <w:rsid w:val="00832750"/>
    <w:rsid w:val="00833205"/>
    <w:rsid w:val="00841C9B"/>
    <w:rsid w:val="00860C3D"/>
    <w:rsid w:val="00861640"/>
    <w:rsid w:val="008619EF"/>
    <w:rsid w:val="0087420A"/>
    <w:rsid w:val="008754D4"/>
    <w:rsid w:val="008819B7"/>
    <w:rsid w:val="00885CEE"/>
    <w:rsid w:val="00893FDF"/>
    <w:rsid w:val="00895D3E"/>
    <w:rsid w:val="008A56D4"/>
    <w:rsid w:val="008B3D47"/>
    <w:rsid w:val="008B428B"/>
    <w:rsid w:val="008B4851"/>
    <w:rsid w:val="008B707C"/>
    <w:rsid w:val="008C021E"/>
    <w:rsid w:val="008D1F43"/>
    <w:rsid w:val="008D69F4"/>
    <w:rsid w:val="008E2228"/>
    <w:rsid w:val="008E71AA"/>
    <w:rsid w:val="008F2640"/>
    <w:rsid w:val="008F783E"/>
    <w:rsid w:val="008F7F98"/>
    <w:rsid w:val="00903232"/>
    <w:rsid w:val="00903C22"/>
    <w:rsid w:val="00911E9D"/>
    <w:rsid w:val="0093209D"/>
    <w:rsid w:val="00942096"/>
    <w:rsid w:val="00944190"/>
    <w:rsid w:val="00953185"/>
    <w:rsid w:val="00956ADB"/>
    <w:rsid w:val="00970354"/>
    <w:rsid w:val="00980F49"/>
    <w:rsid w:val="00985A43"/>
    <w:rsid w:val="00987564"/>
    <w:rsid w:val="009B1FDC"/>
    <w:rsid w:val="009B6F7F"/>
    <w:rsid w:val="009D0508"/>
    <w:rsid w:val="009D20C2"/>
    <w:rsid w:val="009E5234"/>
    <w:rsid w:val="009E7D73"/>
    <w:rsid w:val="009F4853"/>
    <w:rsid w:val="00A00163"/>
    <w:rsid w:val="00A0115C"/>
    <w:rsid w:val="00A10185"/>
    <w:rsid w:val="00A20B72"/>
    <w:rsid w:val="00A20E97"/>
    <w:rsid w:val="00A263CC"/>
    <w:rsid w:val="00A32FD9"/>
    <w:rsid w:val="00A47F64"/>
    <w:rsid w:val="00A50A78"/>
    <w:rsid w:val="00A601C1"/>
    <w:rsid w:val="00A62FDB"/>
    <w:rsid w:val="00A66479"/>
    <w:rsid w:val="00A6729A"/>
    <w:rsid w:val="00A71910"/>
    <w:rsid w:val="00A75B5C"/>
    <w:rsid w:val="00A77EDE"/>
    <w:rsid w:val="00AA3B54"/>
    <w:rsid w:val="00AA3FBC"/>
    <w:rsid w:val="00AB3247"/>
    <w:rsid w:val="00AB51A8"/>
    <w:rsid w:val="00AC7822"/>
    <w:rsid w:val="00AE1CAB"/>
    <w:rsid w:val="00AE307F"/>
    <w:rsid w:val="00AE3878"/>
    <w:rsid w:val="00AE4A62"/>
    <w:rsid w:val="00AE6D81"/>
    <w:rsid w:val="00AF1C6C"/>
    <w:rsid w:val="00AF47A9"/>
    <w:rsid w:val="00B0688F"/>
    <w:rsid w:val="00B10B04"/>
    <w:rsid w:val="00B16EF2"/>
    <w:rsid w:val="00B204A8"/>
    <w:rsid w:val="00B24A41"/>
    <w:rsid w:val="00B30CC4"/>
    <w:rsid w:val="00B4048E"/>
    <w:rsid w:val="00B410AA"/>
    <w:rsid w:val="00B42BEE"/>
    <w:rsid w:val="00B45F48"/>
    <w:rsid w:val="00B46ABD"/>
    <w:rsid w:val="00B5172B"/>
    <w:rsid w:val="00B535E3"/>
    <w:rsid w:val="00B70045"/>
    <w:rsid w:val="00B816BB"/>
    <w:rsid w:val="00B82FA0"/>
    <w:rsid w:val="00B90930"/>
    <w:rsid w:val="00B90ED2"/>
    <w:rsid w:val="00B918C0"/>
    <w:rsid w:val="00BB04D1"/>
    <w:rsid w:val="00BB6725"/>
    <w:rsid w:val="00BB7B9B"/>
    <w:rsid w:val="00BC2464"/>
    <w:rsid w:val="00BC5D5F"/>
    <w:rsid w:val="00BC7796"/>
    <w:rsid w:val="00BD04F8"/>
    <w:rsid w:val="00BD496F"/>
    <w:rsid w:val="00BE0357"/>
    <w:rsid w:val="00BE55F0"/>
    <w:rsid w:val="00BE6EDE"/>
    <w:rsid w:val="00BF080F"/>
    <w:rsid w:val="00BF2E4D"/>
    <w:rsid w:val="00BF4193"/>
    <w:rsid w:val="00BF6F6C"/>
    <w:rsid w:val="00C133E9"/>
    <w:rsid w:val="00C2209A"/>
    <w:rsid w:val="00C235CE"/>
    <w:rsid w:val="00C23C1C"/>
    <w:rsid w:val="00C24242"/>
    <w:rsid w:val="00C338FE"/>
    <w:rsid w:val="00C36D26"/>
    <w:rsid w:val="00C46E53"/>
    <w:rsid w:val="00C51464"/>
    <w:rsid w:val="00C5272A"/>
    <w:rsid w:val="00C56221"/>
    <w:rsid w:val="00C5798D"/>
    <w:rsid w:val="00C7089A"/>
    <w:rsid w:val="00C74428"/>
    <w:rsid w:val="00C77B2B"/>
    <w:rsid w:val="00C80C84"/>
    <w:rsid w:val="00C85D25"/>
    <w:rsid w:val="00CA1CB5"/>
    <w:rsid w:val="00CA6ECF"/>
    <w:rsid w:val="00CB346F"/>
    <w:rsid w:val="00CB6EA6"/>
    <w:rsid w:val="00CC0539"/>
    <w:rsid w:val="00CC0C57"/>
    <w:rsid w:val="00CC7C65"/>
    <w:rsid w:val="00CD1B8B"/>
    <w:rsid w:val="00CD210A"/>
    <w:rsid w:val="00CD586C"/>
    <w:rsid w:val="00CD7257"/>
    <w:rsid w:val="00CF67EB"/>
    <w:rsid w:val="00D0629D"/>
    <w:rsid w:val="00D07376"/>
    <w:rsid w:val="00D15401"/>
    <w:rsid w:val="00D203D2"/>
    <w:rsid w:val="00D3018A"/>
    <w:rsid w:val="00D3224A"/>
    <w:rsid w:val="00D40697"/>
    <w:rsid w:val="00D44B9E"/>
    <w:rsid w:val="00D44BE9"/>
    <w:rsid w:val="00D455E5"/>
    <w:rsid w:val="00D5442E"/>
    <w:rsid w:val="00D5520A"/>
    <w:rsid w:val="00D5737B"/>
    <w:rsid w:val="00D577BF"/>
    <w:rsid w:val="00D5780C"/>
    <w:rsid w:val="00D6100D"/>
    <w:rsid w:val="00D63911"/>
    <w:rsid w:val="00D77A00"/>
    <w:rsid w:val="00D90B6B"/>
    <w:rsid w:val="00D91AD5"/>
    <w:rsid w:val="00DA094F"/>
    <w:rsid w:val="00DA7F30"/>
    <w:rsid w:val="00DB3B76"/>
    <w:rsid w:val="00DD005F"/>
    <w:rsid w:val="00DD4DF5"/>
    <w:rsid w:val="00DE01B1"/>
    <w:rsid w:val="00DE5C48"/>
    <w:rsid w:val="00E0222D"/>
    <w:rsid w:val="00E07B4F"/>
    <w:rsid w:val="00E20535"/>
    <w:rsid w:val="00E231CE"/>
    <w:rsid w:val="00E26B94"/>
    <w:rsid w:val="00E32531"/>
    <w:rsid w:val="00E47898"/>
    <w:rsid w:val="00E622BC"/>
    <w:rsid w:val="00E757F0"/>
    <w:rsid w:val="00E80608"/>
    <w:rsid w:val="00E8373E"/>
    <w:rsid w:val="00E855FE"/>
    <w:rsid w:val="00E86A29"/>
    <w:rsid w:val="00EA472D"/>
    <w:rsid w:val="00EA66AC"/>
    <w:rsid w:val="00EA7A5D"/>
    <w:rsid w:val="00EC016D"/>
    <w:rsid w:val="00ED25B9"/>
    <w:rsid w:val="00ED51AC"/>
    <w:rsid w:val="00EE5358"/>
    <w:rsid w:val="00EF0011"/>
    <w:rsid w:val="00EF51DF"/>
    <w:rsid w:val="00F06433"/>
    <w:rsid w:val="00F064E2"/>
    <w:rsid w:val="00F07E0A"/>
    <w:rsid w:val="00F07FA4"/>
    <w:rsid w:val="00F11110"/>
    <w:rsid w:val="00F23101"/>
    <w:rsid w:val="00F2430B"/>
    <w:rsid w:val="00F2507A"/>
    <w:rsid w:val="00F27C94"/>
    <w:rsid w:val="00F46361"/>
    <w:rsid w:val="00F473D4"/>
    <w:rsid w:val="00F5012E"/>
    <w:rsid w:val="00F5219F"/>
    <w:rsid w:val="00F5301A"/>
    <w:rsid w:val="00F557C4"/>
    <w:rsid w:val="00F705F3"/>
    <w:rsid w:val="00F808FF"/>
    <w:rsid w:val="00F80CEC"/>
    <w:rsid w:val="00F86C54"/>
    <w:rsid w:val="00FC2747"/>
    <w:rsid w:val="00FD7225"/>
    <w:rsid w:val="00FE3A00"/>
    <w:rsid w:val="00FF2E09"/>
    <w:rsid w:val="01DB4E5B"/>
    <w:rsid w:val="02C158B7"/>
    <w:rsid w:val="032B2BE0"/>
    <w:rsid w:val="03B73B7E"/>
    <w:rsid w:val="042E1232"/>
    <w:rsid w:val="04FA5124"/>
    <w:rsid w:val="08EB4EA1"/>
    <w:rsid w:val="0C527CA8"/>
    <w:rsid w:val="0C74259B"/>
    <w:rsid w:val="13B25785"/>
    <w:rsid w:val="150D31D0"/>
    <w:rsid w:val="152C2AC9"/>
    <w:rsid w:val="180B69D9"/>
    <w:rsid w:val="180C273E"/>
    <w:rsid w:val="19172CAB"/>
    <w:rsid w:val="1D324CF6"/>
    <w:rsid w:val="1EC51703"/>
    <w:rsid w:val="1F62529B"/>
    <w:rsid w:val="222E0930"/>
    <w:rsid w:val="2245587E"/>
    <w:rsid w:val="22780E47"/>
    <w:rsid w:val="243413F5"/>
    <w:rsid w:val="25205B52"/>
    <w:rsid w:val="252132FE"/>
    <w:rsid w:val="26985014"/>
    <w:rsid w:val="295277B2"/>
    <w:rsid w:val="2A415776"/>
    <w:rsid w:val="2B38227C"/>
    <w:rsid w:val="2BFE25ED"/>
    <w:rsid w:val="2D240454"/>
    <w:rsid w:val="2E180765"/>
    <w:rsid w:val="2F7D0826"/>
    <w:rsid w:val="300A5986"/>
    <w:rsid w:val="30784F1A"/>
    <w:rsid w:val="317802D9"/>
    <w:rsid w:val="31F5157C"/>
    <w:rsid w:val="33804133"/>
    <w:rsid w:val="33C5616B"/>
    <w:rsid w:val="358A4376"/>
    <w:rsid w:val="373B2927"/>
    <w:rsid w:val="39660923"/>
    <w:rsid w:val="398069A9"/>
    <w:rsid w:val="399247BD"/>
    <w:rsid w:val="39A77620"/>
    <w:rsid w:val="3A9C0F0D"/>
    <w:rsid w:val="3CC11ED8"/>
    <w:rsid w:val="3CC717D7"/>
    <w:rsid w:val="3DBB6CB8"/>
    <w:rsid w:val="40BA0A0A"/>
    <w:rsid w:val="41DE25FE"/>
    <w:rsid w:val="43990B6F"/>
    <w:rsid w:val="43BB3D7B"/>
    <w:rsid w:val="44B65DC4"/>
    <w:rsid w:val="45576E1A"/>
    <w:rsid w:val="469511E9"/>
    <w:rsid w:val="46A2779A"/>
    <w:rsid w:val="46C71DA3"/>
    <w:rsid w:val="48F34585"/>
    <w:rsid w:val="5002271E"/>
    <w:rsid w:val="512670F8"/>
    <w:rsid w:val="52D60F19"/>
    <w:rsid w:val="54227B4C"/>
    <w:rsid w:val="552528C4"/>
    <w:rsid w:val="56662484"/>
    <w:rsid w:val="572F4B07"/>
    <w:rsid w:val="575C4910"/>
    <w:rsid w:val="5A30528C"/>
    <w:rsid w:val="61A03242"/>
    <w:rsid w:val="65251C81"/>
    <w:rsid w:val="65AB3CAD"/>
    <w:rsid w:val="65D770B9"/>
    <w:rsid w:val="66C93C73"/>
    <w:rsid w:val="6707732E"/>
    <w:rsid w:val="68185640"/>
    <w:rsid w:val="69E3213B"/>
    <w:rsid w:val="6BB7071E"/>
    <w:rsid w:val="6E133DD9"/>
    <w:rsid w:val="6EEE312B"/>
    <w:rsid w:val="706869EA"/>
    <w:rsid w:val="70813E7B"/>
    <w:rsid w:val="73DC2127"/>
    <w:rsid w:val="7595230D"/>
    <w:rsid w:val="762F1D74"/>
    <w:rsid w:val="7691426C"/>
    <w:rsid w:val="769464CA"/>
    <w:rsid w:val="76AF6CFB"/>
    <w:rsid w:val="7753731A"/>
    <w:rsid w:val="7CD01F77"/>
    <w:rsid w:val="7D2D627B"/>
    <w:rsid w:val="7E1315AA"/>
    <w:rsid w:val="7E8C0A6C"/>
    <w:rsid w:val="7E95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100" w:beforeAutospacing="1" w:after="100" w:afterAutospacing="1"/>
      <w:jc w:val="left"/>
    </w:pPr>
    <w:rPr>
      <w:rFonts w:cs="Times New Roman"/>
      <w:kern w:val="0"/>
      <w:sz w:val="24"/>
    </w:rPr>
  </w:style>
  <w:style w:type="paragraph" w:styleId="7">
    <w:name w:val="annotation subject"/>
    <w:basedOn w:val="2"/>
    <w:next w:val="2"/>
    <w:link w:val="19"/>
    <w:qFormat/>
    <w:uiPriority w:val="0"/>
    <w:rPr>
      <w:b/>
      <w:bCs/>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批注框文本 Char"/>
    <w:basedOn w:val="9"/>
    <w:link w:val="3"/>
    <w:qFormat/>
    <w:uiPriority w:val="0"/>
    <w:rPr>
      <w:rFonts w:asciiTheme="minorHAnsi" w:hAnsiTheme="minorHAnsi" w:eastAsiaTheme="minorEastAsia" w:cstheme="minorBidi"/>
      <w:kern w:val="2"/>
      <w:sz w:val="18"/>
      <w:szCs w:val="18"/>
    </w:rPr>
  </w:style>
  <w:style w:type="paragraph" w:customStyle="1" w:styleId="16">
    <w:name w:val="列出段落1"/>
    <w:basedOn w:val="1"/>
    <w:unhideWhenUsed/>
    <w:qFormat/>
    <w:uiPriority w:val="34"/>
    <w:pPr>
      <w:ind w:firstLine="420" w:firstLineChars="200"/>
    </w:pPr>
  </w:style>
  <w:style w:type="paragraph" w:styleId="17">
    <w:name w:val="List Paragraph"/>
    <w:basedOn w:val="1"/>
    <w:qFormat/>
    <w:uiPriority w:val="34"/>
    <w:pPr>
      <w:ind w:firstLine="420" w:firstLineChars="200"/>
    </w:pPr>
  </w:style>
  <w:style w:type="character" w:customStyle="1" w:styleId="18">
    <w:name w:val="批注文字 Char"/>
    <w:basedOn w:val="9"/>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 w:type="paragraph" w:customStyle="1" w:styleId="2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1">
    <w:name w:val="未处理的提及1"/>
    <w:basedOn w:val="9"/>
    <w:semiHidden/>
    <w:unhideWhenUsed/>
    <w:qFormat/>
    <w:uiPriority w:val="99"/>
    <w:rPr>
      <w:color w:val="605E5C"/>
      <w:shd w:val="clear" w:color="auto" w:fill="E1DFDD"/>
    </w:rPr>
  </w:style>
  <w:style w:type="paragraph" w:customStyle="1" w:styleId="22">
    <w:name w:val="Default"/>
    <w:qFormat/>
    <w:uiPriority w:val="0"/>
    <w:pPr>
      <w:widowControl w:val="0"/>
      <w:autoSpaceDE w:val="0"/>
      <w:autoSpaceDN w:val="0"/>
      <w:adjustRightInd w:val="0"/>
    </w:pPr>
    <w:rPr>
      <w:rFonts w:ascii="华文中宋" w:hAnsi="华文中宋" w:eastAsia="宋体" w:cs="华文中宋"/>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2501</Words>
  <Characters>2626</Characters>
  <Lines>19</Lines>
  <Paragraphs>5</Paragraphs>
  <TotalTime>66</TotalTime>
  <ScaleCrop>false</ScaleCrop>
  <LinksUpToDate>false</LinksUpToDate>
  <CharactersWithSpaces>2634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2025-10-21T07:15:00Z</dcterms:created>
  <dc:creator>ff_1229126com</dc:creator>
  <cp:lastModifiedBy>jinnono</cp:lastModifiedBy>
  <cp:lastPrinted>2025-09-26T02:01:00Z</cp:lastPrinted>
  <dcterms:modified xsi:type="dcterms:W3CDTF">2025-10-31T00:52:53Z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8337DCF945954FA4A012FAB16219B2DE_13</vt:lpwstr>
  </property>
</Properties>
</file>