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CA8809">
      <w:pPr>
        <w:keepNext w:val="0"/>
        <w:keepLines w:val="0"/>
        <w:pageBreakBefore w:val="0"/>
        <w:wordWrap/>
        <w:overflowPunct/>
        <w:topLinePunct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2025年基层就业学费补偿和国家助学</w:t>
      </w:r>
    </w:p>
    <w:p w14:paraId="7CD39BC6">
      <w:pPr>
        <w:keepNext w:val="0"/>
        <w:keepLines w:val="0"/>
        <w:pageBreakBefore w:val="0"/>
        <w:wordWrap/>
        <w:overflowPunct/>
        <w:topLinePunct w:val="0"/>
        <w:bidi w:val="0"/>
        <w:adjustRightInd w:val="0"/>
        <w:snapToGrid w:val="0"/>
        <w:spacing w:line="560" w:lineRule="exact"/>
        <w:jc w:val="center"/>
        <w:textAlignment w:val="baseline"/>
        <w:rPr>
          <w:rFonts w:hint="eastAsia" w:ascii="方正小标宋简体" w:hAnsi="方正小标宋简体" w:eastAsia="方正小标宋简体" w:cs="方正小标宋简体"/>
          <w:b/>
          <w:bCs/>
          <w:spacing w:val="0"/>
          <w:sz w:val="44"/>
          <w:szCs w:val="44"/>
          <w:u w:val="none"/>
          <w:lang w:val="en-US" w:eastAsia="zh-CN"/>
        </w:rPr>
      </w:pPr>
      <w:r>
        <w:rPr>
          <w:rFonts w:hint="eastAsia" w:ascii="方正小标宋简体" w:hAnsi="方正小标宋简体" w:eastAsia="方正小标宋简体" w:cs="方正小标宋简体"/>
          <w:sz w:val="44"/>
          <w:szCs w:val="44"/>
          <w:lang w:val="en-US" w:eastAsia="zh-CN"/>
        </w:rPr>
        <w:t>贷款代偿材料审核要点</w:t>
      </w:r>
    </w:p>
    <w:p w14:paraId="6EB0BFC9">
      <w:pPr>
        <w:keepNext w:val="0"/>
        <w:keepLines w:val="0"/>
        <w:pageBreakBefore w:val="0"/>
        <w:wordWrap/>
        <w:overflowPunct/>
        <w:topLinePunct w:val="0"/>
        <w:bidi w:val="0"/>
        <w:adjustRightInd w:val="0"/>
        <w:snapToGrid w:val="0"/>
        <w:spacing w:before="373" w:line="560" w:lineRule="exact"/>
        <w:ind w:left="0" w:leftChars="0" w:firstLine="640" w:firstLineChars="200"/>
        <w:jc w:val="both"/>
        <w:textAlignment w:val="baseline"/>
        <w:rPr>
          <w:rFonts w:hint="eastAsia" w:ascii="黑体" w:hAnsi="黑体" w:eastAsia="黑体" w:cs="黑体"/>
          <w:snapToGrid/>
          <w:color w:val="auto"/>
          <w:spacing w:val="0"/>
          <w:kern w:val="2"/>
          <w:sz w:val="32"/>
          <w:szCs w:val="32"/>
          <w:u w:val="none"/>
          <w:lang w:val="en-US" w:eastAsia="zh-CN" w:bidi="ar-SA"/>
        </w:rPr>
      </w:pPr>
      <w:r>
        <w:rPr>
          <w:rFonts w:hint="eastAsia" w:ascii="黑体" w:hAnsi="黑体" w:eastAsia="黑体" w:cs="黑体"/>
          <w:snapToGrid/>
          <w:color w:val="auto"/>
          <w:spacing w:val="0"/>
          <w:kern w:val="2"/>
          <w:sz w:val="32"/>
          <w:szCs w:val="32"/>
          <w:lang w:val="en-US" w:eastAsia="zh-CN" w:bidi="ar-SA"/>
        </w:rPr>
        <w:t>一、</w:t>
      </w:r>
      <w:r>
        <w:rPr>
          <w:rFonts w:hint="eastAsia" w:ascii="黑体" w:hAnsi="黑体" w:eastAsia="黑体" w:cs="黑体"/>
          <w:snapToGrid/>
          <w:color w:val="auto"/>
          <w:spacing w:val="0"/>
          <w:kern w:val="2"/>
          <w:sz w:val="32"/>
          <w:szCs w:val="32"/>
          <w:u w:val="none"/>
          <w:lang w:val="en-US" w:eastAsia="zh-CN" w:bidi="ar-SA"/>
        </w:rPr>
        <w:t>就业身份审核</w:t>
      </w:r>
    </w:p>
    <w:p w14:paraId="311EA3FB">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3" w:firstLineChars="200"/>
        <w:jc w:val="both"/>
        <w:textAlignment w:val="baseline"/>
        <w:rPr>
          <w:rFonts w:hint="eastAsia" w:ascii="楷体_GB2312" w:hAnsi="楷体_GB2312" w:eastAsia="楷体_GB2312" w:cs="楷体_GB2312"/>
          <w:b/>
          <w:bCs/>
          <w:snapToGrid/>
          <w:spacing w:val="0"/>
          <w:kern w:val="2"/>
          <w:sz w:val="32"/>
          <w:szCs w:val="32"/>
          <w:u w:val="none"/>
          <w:lang w:val="en-US" w:eastAsia="zh-CN"/>
        </w:rPr>
      </w:pPr>
      <w:r>
        <w:rPr>
          <w:rFonts w:hint="eastAsia" w:ascii="楷体_GB2312" w:hAnsi="楷体_GB2312" w:eastAsia="楷体_GB2312" w:cs="楷体_GB2312"/>
          <w:b/>
          <w:bCs/>
          <w:snapToGrid/>
          <w:spacing w:val="0"/>
          <w:kern w:val="2"/>
          <w:sz w:val="32"/>
          <w:szCs w:val="32"/>
          <w:u w:val="none"/>
          <w:lang w:val="en-US" w:eastAsia="zh-CN"/>
        </w:rPr>
        <w:t>（一）2014年至2018年高校毕业生</w:t>
      </w:r>
    </w:p>
    <w:p w14:paraId="01D5F9B0">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color w:val="auto"/>
          <w:spacing w:val="0"/>
          <w:kern w:val="2"/>
          <w:sz w:val="32"/>
          <w:szCs w:val="32"/>
          <w:u w:val="none"/>
          <w:lang w:val="en-US" w:eastAsia="zh-CN" w:bidi="ar-SA"/>
        </w:rPr>
      </w:pPr>
      <w:r>
        <w:rPr>
          <w:rFonts w:hint="eastAsia" w:ascii="仿宋_GB2312" w:hAnsi="仿宋_GB2312" w:eastAsia="仿宋_GB2312" w:cs="仿宋_GB2312"/>
          <w:snapToGrid/>
          <w:spacing w:val="0"/>
          <w:kern w:val="2"/>
          <w:sz w:val="32"/>
          <w:szCs w:val="32"/>
          <w:u w:val="none"/>
          <w:lang w:val="en-US" w:eastAsia="zh-CN"/>
        </w:rPr>
        <w:t>我省地方高校应届毕业的全日制本专科生（含高职、第二学士学位）、研究生，</w:t>
      </w:r>
      <w:bookmarkStart w:id="0" w:name="_GoBack"/>
      <w:bookmarkEnd w:id="0"/>
      <w:r>
        <w:rPr>
          <w:rFonts w:hint="eastAsia" w:ascii="仿宋_GB2312" w:hAnsi="仿宋_GB2312" w:eastAsia="仿宋_GB2312" w:cs="仿宋_GB2312"/>
          <w:snapToGrid/>
          <w:spacing w:val="0"/>
          <w:kern w:val="2"/>
          <w:sz w:val="32"/>
          <w:szCs w:val="32"/>
          <w:u w:val="none"/>
          <w:lang w:val="en-US" w:eastAsia="zh-CN"/>
        </w:rPr>
        <w:t>同时，还需要满足学生毕业前享受低保。学生毕业前低保被取消不符合申请条件，低保证（或低保证明）中应明确毕业生本人享受低保。定向、委培、公费师范生以及在校学习期间已享受免除学费政策的学生除外。</w:t>
      </w:r>
    </w:p>
    <w:p w14:paraId="134831E5">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3" w:firstLineChars="200"/>
        <w:jc w:val="both"/>
        <w:textAlignment w:val="baseline"/>
        <w:rPr>
          <w:rFonts w:hint="eastAsia" w:ascii="楷体_GB2312" w:hAnsi="楷体_GB2312" w:eastAsia="楷体_GB2312" w:cs="楷体_GB2312"/>
          <w:b/>
          <w:bCs/>
          <w:snapToGrid/>
          <w:color w:val="auto"/>
          <w:spacing w:val="0"/>
          <w:kern w:val="2"/>
          <w:sz w:val="32"/>
          <w:szCs w:val="32"/>
          <w:u w:val="none"/>
          <w:lang w:val="en-US" w:eastAsia="zh-CN"/>
        </w:rPr>
      </w:pPr>
      <w:r>
        <w:rPr>
          <w:rFonts w:hint="eastAsia" w:ascii="楷体_GB2312" w:hAnsi="楷体_GB2312" w:eastAsia="楷体_GB2312" w:cs="楷体_GB2312"/>
          <w:b/>
          <w:bCs/>
          <w:snapToGrid/>
          <w:color w:val="auto"/>
          <w:spacing w:val="0"/>
          <w:kern w:val="2"/>
          <w:sz w:val="32"/>
          <w:szCs w:val="32"/>
          <w:u w:val="none"/>
          <w:lang w:val="en-US" w:eastAsia="zh-CN"/>
        </w:rPr>
        <w:t>（二）2019年及其以后高校毕业生</w:t>
      </w:r>
    </w:p>
    <w:p w14:paraId="0134AD4A">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3" w:firstLineChars="200"/>
        <w:jc w:val="both"/>
        <w:textAlignment w:val="baseline"/>
        <w:rPr>
          <w:rFonts w:hint="eastAsia" w:ascii="仿宋_GB2312" w:hAnsi="仿宋_GB2312" w:eastAsia="仿宋_GB2312" w:cs="仿宋_GB2312"/>
          <w:snapToGrid/>
          <w:color w:val="auto"/>
          <w:spacing w:val="0"/>
          <w:kern w:val="2"/>
          <w:sz w:val="32"/>
          <w:szCs w:val="32"/>
          <w:u w:val="none"/>
          <w:lang w:val="en-US" w:eastAsia="zh-CN" w:bidi="ar-SA"/>
        </w:rPr>
      </w:pPr>
      <w:r>
        <w:rPr>
          <w:rFonts w:hint="eastAsia" w:ascii="仿宋_GB2312" w:hAnsi="仿宋_GB2312" w:eastAsia="仿宋_GB2312" w:cs="仿宋_GB2312"/>
          <w:b/>
          <w:bCs/>
          <w:snapToGrid/>
          <w:color w:val="auto"/>
          <w:spacing w:val="0"/>
          <w:kern w:val="2"/>
          <w:sz w:val="32"/>
          <w:szCs w:val="32"/>
          <w:u w:val="none"/>
          <w:lang w:val="en-US" w:eastAsia="zh-CN"/>
        </w:rPr>
        <w:t>1.非边境县基层单位就业，</w:t>
      </w:r>
      <w:r>
        <w:rPr>
          <w:rFonts w:hint="eastAsia" w:ascii="仿宋_GB2312" w:hAnsi="仿宋_GB2312" w:eastAsia="仿宋_GB2312" w:cs="仿宋_GB2312"/>
          <w:snapToGrid/>
          <w:spacing w:val="0"/>
          <w:kern w:val="2"/>
          <w:sz w:val="32"/>
          <w:szCs w:val="32"/>
          <w:u w:val="none"/>
          <w:lang w:val="en-US" w:eastAsia="zh-CN"/>
        </w:rPr>
        <w:t>我省地方高校应届毕业的全日制本专科生（含高职、第二学士学位）、研究生，同时，还需要满足学生毕业前享受低保。学生毕业前低保被取消不符合申请条件，低保证（或低保证明）中应明确毕业生本人享受低保。定向、委培、公费师范生以及在校学习期间已享受免除学费政策的学生除外。</w:t>
      </w:r>
    </w:p>
    <w:p w14:paraId="07839D9E">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3"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b/>
          <w:bCs/>
          <w:snapToGrid/>
          <w:color w:val="auto"/>
          <w:spacing w:val="0"/>
          <w:kern w:val="2"/>
          <w:sz w:val="32"/>
          <w:szCs w:val="32"/>
          <w:u w:val="none"/>
          <w:lang w:val="en-US" w:eastAsia="zh-CN"/>
        </w:rPr>
        <w:t>2.边境县基层单位就业，</w:t>
      </w:r>
      <w:r>
        <w:rPr>
          <w:rFonts w:hint="eastAsia" w:ascii="仿宋_GB2312" w:hAnsi="仿宋_GB2312" w:eastAsia="仿宋_GB2312" w:cs="仿宋_GB2312"/>
          <w:snapToGrid/>
          <w:spacing w:val="0"/>
          <w:kern w:val="2"/>
          <w:sz w:val="32"/>
          <w:szCs w:val="32"/>
          <w:u w:val="none"/>
          <w:lang w:val="en-US" w:eastAsia="zh-CN"/>
        </w:rPr>
        <w:t>我省地方高校应届毕业的全日制本专科生（含高职、第二学士学位）、研究生。定向、委培、公费师范生以及在校学习期间已享受免除学费政策的学生除外。</w:t>
      </w:r>
    </w:p>
    <w:p w14:paraId="182357F0">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黑龙江省边境县（区）名单：穆棱市、东宁市、绥芬河市、同江市、抚远市、鸡东县、密山市、虎林市、萝北县、绥滨县、饶河县、逊克县、孙吴县、爱辉区、嘉荫县、呼玛县、塔河县、漠河市。</w:t>
      </w:r>
    </w:p>
    <w:p w14:paraId="15EC297D">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黑体" w:hAnsi="黑体" w:eastAsia="黑体" w:cs="黑体"/>
          <w:snapToGrid/>
          <w:spacing w:val="0"/>
          <w:kern w:val="2"/>
          <w:sz w:val="32"/>
          <w:szCs w:val="32"/>
          <w:u w:val="none"/>
          <w:lang w:val="en-US" w:eastAsia="zh-CN"/>
        </w:rPr>
      </w:pPr>
      <w:r>
        <w:rPr>
          <w:rFonts w:hint="eastAsia" w:ascii="黑体" w:hAnsi="黑体" w:eastAsia="黑体" w:cs="黑体"/>
          <w:snapToGrid/>
          <w:spacing w:val="0"/>
          <w:kern w:val="2"/>
          <w:sz w:val="32"/>
          <w:szCs w:val="32"/>
          <w:u w:val="none"/>
          <w:lang w:val="en-US" w:eastAsia="zh-CN"/>
        </w:rPr>
        <w:t>二、工作时间审核</w:t>
      </w:r>
    </w:p>
    <w:p w14:paraId="1B1EDC28">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right="0" w:rightChars="0"/>
        <w:jc w:val="both"/>
        <w:textAlignment w:val="baseline"/>
        <w:rPr>
          <w:rFonts w:hint="eastAsia" w:ascii="楷体_GB2312" w:hAnsi="楷体_GB2312" w:eastAsia="楷体_GB2312" w:cs="楷体_GB2312"/>
          <w:b/>
          <w:bCs/>
          <w:snapToGrid/>
          <w:spacing w:val="0"/>
          <w:kern w:val="2"/>
          <w:sz w:val="32"/>
          <w:szCs w:val="32"/>
          <w:u w:val="none"/>
          <w:lang w:val="en-US" w:eastAsia="zh-CN"/>
        </w:rPr>
      </w:pPr>
      <w:r>
        <w:rPr>
          <w:rFonts w:hint="eastAsia" w:ascii="楷体_GB2312" w:hAnsi="楷体_GB2312" w:eastAsia="楷体_GB2312" w:cs="楷体_GB2312"/>
          <w:b/>
          <w:bCs/>
          <w:snapToGrid/>
          <w:spacing w:val="0"/>
          <w:kern w:val="2"/>
          <w:sz w:val="32"/>
          <w:szCs w:val="32"/>
          <w:u w:val="none"/>
          <w:lang w:val="en-US" w:eastAsia="zh-CN"/>
        </w:rPr>
        <w:t>（一）就业时间</w:t>
      </w:r>
    </w:p>
    <w:p w14:paraId="701CB9CE">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按照《教育部关于应对新冠肺炎疫情做好2020届全国普通高等学校毕业生就业创业工作的通知》（教学〔2020〕2号）“对离校时未落实工作单位的高校毕业生，可按规定将户口、档案在学校保留两年，并为落实单位的毕业生按应届毕业生身份及时办理就业手续”要求，2020年毕业生于2022年6月30日前、2021年毕业生于2023年6月30日前与黑龙江省内基层单位办理就业手续（签订劳动合同、聘用合同或录用通知）并实际到岗就业的符合申请条件。其他年度毕业生于毕业次年6月30日前与黑龙江省内基层单位办理就业手续（签订劳动合同、聘用合同或录用通知）并实际到岗就业的符合申请条件。</w:t>
      </w:r>
    </w:p>
    <w:p w14:paraId="4A0F7EC3">
      <w:pPr>
        <w:pStyle w:val="3"/>
        <w:keepNext w:val="0"/>
        <w:keepLines w:val="0"/>
        <w:pageBreakBefore w:val="0"/>
        <w:wordWrap/>
        <w:overflowPunct/>
        <w:topLinePunct w:val="0"/>
        <w:bidi w:val="0"/>
        <w:adjustRightInd w:val="0"/>
        <w:snapToGrid w:val="0"/>
        <w:spacing w:line="560" w:lineRule="exact"/>
        <w:ind w:left="0" w:firstLine="655" w:firstLineChars="200"/>
        <w:textAlignment w:val="baseline"/>
        <w:outlineLvl w:val="2"/>
        <w:rPr>
          <w:rFonts w:hint="eastAsia" w:ascii="楷体_GB2312" w:hAnsi="楷体_GB2312" w:eastAsia="楷体_GB2312" w:cs="楷体_GB2312"/>
          <w:sz w:val="32"/>
          <w:szCs w:val="32"/>
        </w:rPr>
      </w:pPr>
      <w:r>
        <w:rPr>
          <w:rFonts w:hint="eastAsia" w:ascii="楷体_GB2312" w:hAnsi="楷体_GB2312" w:eastAsia="楷体_GB2312" w:cs="楷体_GB2312"/>
          <w:b/>
          <w:bCs/>
          <w:spacing w:val="3"/>
          <w:sz w:val="32"/>
          <w:szCs w:val="32"/>
          <w:lang w:eastAsia="zh-CN"/>
        </w:rPr>
        <w:t>（</w:t>
      </w:r>
      <w:r>
        <w:rPr>
          <w:rFonts w:hint="eastAsia" w:ascii="楷体_GB2312" w:hAnsi="楷体_GB2312" w:eastAsia="楷体_GB2312" w:cs="楷体_GB2312"/>
          <w:b/>
          <w:bCs/>
          <w:spacing w:val="3"/>
          <w:sz w:val="32"/>
          <w:szCs w:val="32"/>
          <w:lang w:val="en-US" w:eastAsia="zh-CN"/>
        </w:rPr>
        <w:t>二</w:t>
      </w:r>
      <w:r>
        <w:rPr>
          <w:rFonts w:hint="eastAsia" w:ascii="楷体_GB2312" w:hAnsi="楷体_GB2312" w:eastAsia="楷体_GB2312" w:cs="楷体_GB2312"/>
          <w:b/>
          <w:bCs/>
          <w:spacing w:val="3"/>
          <w:sz w:val="32"/>
          <w:szCs w:val="32"/>
          <w:lang w:eastAsia="zh-CN"/>
        </w:rPr>
        <w:t>）</w:t>
      </w:r>
      <w:r>
        <w:rPr>
          <w:rFonts w:hint="eastAsia" w:ascii="楷体_GB2312" w:hAnsi="楷体_GB2312" w:eastAsia="楷体_GB2312" w:cs="楷体_GB2312"/>
          <w:b/>
          <w:bCs/>
          <w:spacing w:val="3"/>
          <w:sz w:val="32"/>
          <w:szCs w:val="32"/>
        </w:rPr>
        <w:t>服务年限</w:t>
      </w:r>
    </w:p>
    <w:p w14:paraId="4E8F1CC8">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服务年限指在基层单位的服务年限。学生需在黑龙江省内基层单位连续工作达36个月以上（含36个月），且就业单位连续为其缴纳社会保险费的符合申请条件。存在工作变动，需要多段工作经历连续，并且工作变动后仍属于基层单位的符合申请条件，申报时应提供每一段工作经历的多份申请表和申请材料。因调动、提拔、工作需要换岗而提前离开基层单位，中止在基层单位就业或单位变动后不属基层单位的，不符合申请条件。</w:t>
      </w:r>
    </w:p>
    <w:p w14:paraId="4836F4F5">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黑体" w:hAnsi="黑体" w:eastAsia="黑体" w:cs="黑体"/>
          <w:spacing w:val="0"/>
          <w:sz w:val="32"/>
          <w:szCs w:val="32"/>
          <w:u w:val="none"/>
          <w:lang w:val="en-US" w:eastAsia="zh-CN"/>
        </w:rPr>
      </w:pPr>
      <w:r>
        <w:rPr>
          <w:rFonts w:hint="eastAsia" w:ascii="黑体" w:hAnsi="黑体" w:eastAsia="黑体" w:cs="黑体"/>
          <w:snapToGrid/>
          <w:spacing w:val="0"/>
          <w:kern w:val="2"/>
          <w:sz w:val="32"/>
          <w:szCs w:val="32"/>
          <w:u w:val="none"/>
          <w:lang w:val="en-US" w:eastAsia="zh-CN"/>
        </w:rPr>
        <w:t>三、工作地点审核</w:t>
      </w:r>
    </w:p>
    <w:p w14:paraId="77D8BA7B">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pacing w:val="0"/>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实际工作地点是指毕业生绝大多数时间的工作所在地，实际工作地点在县以下（不含县政府所在地）的乡（镇、街道）符合申请条件；实际工作地点位于黑龙江垦区内农场、林场的，符合工作地点要求。工作地点在县政府所在地的乡（镇、街道）不符合申请条件。实际工作地点具有以下特点：一是相对长期的，而不是因项目、出差、调研和帮扶等短期临时的工作地点；二是区别于工作管辖区域、服务范围；三是区别于就业单位的办公地址。实际工作地点按照国家行政区划确定，务必具体到乡（镇、街道）。 格式一般为 xx 省 xx 市 xx 县（区）xx 乡（镇、街道）xx 。</w:t>
      </w:r>
      <w:r>
        <w:rPr>
          <w:rFonts w:hint="eastAsia" w:ascii="仿宋_GB2312" w:hAnsi="仿宋_GB2312" w:eastAsia="仿宋_GB2312" w:cs="仿宋_GB2312"/>
          <w:spacing w:val="0"/>
          <w:sz w:val="32"/>
          <w:szCs w:val="32"/>
          <w:u w:val="none"/>
          <w:lang w:val="en-US" w:eastAsia="zh-CN"/>
        </w:rPr>
        <w:t xml:space="preserve"> </w:t>
      </w:r>
    </w:p>
    <w:p w14:paraId="1B6F3A23">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黑体" w:hAnsi="黑体" w:eastAsia="黑体" w:cs="黑体"/>
          <w:snapToGrid/>
          <w:color w:val="000000"/>
          <w:spacing w:val="0"/>
          <w:kern w:val="2"/>
          <w:sz w:val="32"/>
          <w:szCs w:val="32"/>
          <w:lang w:val="en-US" w:eastAsia="zh-CN" w:bidi="ar-SA"/>
        </w:rPr>
      </w:pPr>
      <w:r>
        <w:rPr>
          <w:rFonts w:hint="eastAsia" w:ascii="黑体" w:hAnsi="黑体" w:eastAsia="黑体" w:cs="黑体"/>
          <w:snapToGrid/>
          <w:color w:val="000000"/>
          <w:spacing w:val="0"/>
          <w:kern w:val="2"/>
          <w:sz w:val="32"/>
          <w:szCs w:val="32"/>
          <w:lang w:val="en-US" w:eastAsia="zh-CN" w:bidi="ar-SA"/>
        </w:rPr>
        <w:t>四、单位岗位审核</w:t>
      </w:r>
    </w:p>
    <w:p w14:paraId="6D4C13C8">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3" w:firstLineChars="200"/>
        <w:jc w:val="both"/>
        <w:textAlignment w:val="baseline"/>
        <w:rPr>
          <w:rFonts w:hint="eastAsia" w:ascii="楷体_GB2312" w:hAnsi="楷体_GB2312" w:eastAsia="楷体_GB2312" w:cs="楷体_GB2312"/>
          <w:b/>
          <w:bCs/>
          <w:snapToGrid/>
          <w:color w:val="000000"/>
          <w:spacing w:val="0"/>
          <w:kern w:val="2"/>
          <w:sz w:val="32"/>
          <w:szCs w:val="32"/>
          <w:lang w:val="en-US" w:eastAsia="zh-CN" w:bidi="ar-SA"/>
        </w:rPr>
      </w:pPr>
      <w:r>
        <w:rPr>
          <w:rFonts w:hint="eastAsia" w:ascii="楷体_GB2312" w:hAnsi="楷体_GB2312" w:eastAsia="楷体_GB2312" w:cs="楷体_GB2312"/>
          <w:b/>
          <w:bCs/>
          <w:snapToGrid/>
          <w:color w:val="000000"/>
          <w:spacing w:val="0"/>
          <w:kern w:val="2"/>
          <w:sz w:val="32"/>
          <w:szCs w:val="32"/>
          <w:lang w:val="en-US" w:eastAsia="zh-CN" w:bidi="ar-SA"/>
        </w:rPr>
        <w:t>（一）非艰苦行业</w:t>
      </w:r>
    </w:p>
    <w:p w14:paraId="176A21A7">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从事金融、通讯、烟酒（原材料种植工作除外）、飞机及列车乘务、房地产及其相关产业等工作的，属于非艰苦行业，不予批准。</w:t>
      </w:r>
    </w:p>
    <w:p w14:paraId="558DAB0F">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通讯行业主要包括移动、联通、电信等，非艰苦行业不包括航空或铁路运输中除飞机及列车乘务外的其他工作（如机场机械维修）、电力、石油、天然气、邮政等行业。</w:t>
      </w:r>
    </w:p>
    <w:p w14:paraId="7C63F2A7">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3" w:firstLineChars="200"/>
        <w:jc w:val="both"/>
        <w:textAlignment w:val="baseline"/>
        <w:rPr>
          <w:rFonts w:hint="eastAsia" w:ascii="楷体_GB2312" w:hAnsi="楷体_GB2312" w:eastAsia="楷体_GB2312" w:cs="楷体_GB2312"/>
          <w:b/>
          <w:bCs/>
          <w:snapToGrid/>
          <w:color w:val="000000"/>
          <w:spacing w:val="0"/>
          <w:kern w:val="2"/>
          <w:sz w:val="32"/>
          <w:szCs w:val="32"/>
          <w:lang w:val="en-US" w:eastAsia="zh-CN" w:bidi="ar-SA"/>
        </w:rPr>
      </w:pPr>
      <w:r>
        <w:rPr>
          <w:rFonts w:hint="eastAsia" w:ascii="楷体_GB2312" w:hAnsi="楷体_GB2312" w:eastAsia="楷体_GB2312" w:cs="楷体_GB2312"/>
          <w:b/>
          <w:bCs/>
          <w:snapToGrid/>
          <w:color w:val="000000"/>
          <w:spacing w:val="0"/>
          <w:kern w:val="2"/>
          <w:sz w:val="32"/>
          <w:szCs w:val="32"/>
          <w:lang w:val="en-US" w:eastAsia="zh-CN" w:bidi="ar-SA"/>
        </w:rPr>
        <w:t>（二）非县以下基层单位</w:t>
      </w:r>
    </w:p>
    <w:p w14:paraId="3400C2A8">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县级以上（含县级）各局（委员会、办公室）、高等学校、公安机关支队级以上（含支队级）等不属于基层单位，不予批准。</w:t>
      </w:r>
    </w:p>
    <w:p w14:paraId="34687413">
      <w:pPr>
        <w:keepNext w:val="0"/>
        <w:keepLines w:val="0"/>
        <w:pageBreakBefore w:val="0"/>
        <w:wordWrap/>
        <w:overflowPunct/>
        <w:topLinePunct w:val="0"/>
        <w:bidi w:val="0"/>
        <w:adjustRightInd w:val="0"/>
        <w:snapToGrid w:val="0"/>
        <w:spacing w:line="240" w:lineRule="auto"/>
        <w:ind w:firstLine="640" w:firstLineChars="200"/>
        <w:textAlignment w:val="baseline"/>
        <w:rPr>
          <w:rFonts w:hint="eastAsia" w:ascii="黑体" w:hAnsi="黑体" w:eastAsia="黑体" w:cs="黑体"/>
          <w:sz w:val="32"/>
          <w:szCs w:val="32"/>
        </w:rPr>
      </w:pPr>
      <w:r>
        <w:rPr>
          <w:rFonts w:hint="eastAsia" w:ascii="黑体" w:hAnsi="黑体" w:eastAsia="黑体" w:cs="黑体"/>
          <w:snapToGrid/>
          <w:color w:val="000000"/>
          <w:spacing w:val="0"/>
          <w:kern w:val="2"/>
          <w:sz w:val="32"/>
          <w:szCs w:val="32"/>
          <w:lang w:val="en-US" w:eastAsia="zh-CN" w:bidi="ar-SA"/>
        </w:rPr>
        <w:t>四、</w:t>
      </w:r>
      <w:r>
        <w:rPr>
          <w:rFonts w:hint="eastAsia" w:ascii="黑体" w:hAnsi="黑体" w:eastAsia="黑体" w:cs="黑体"/>
          <w:spacing w:val="7"/>
          <w:sz w:val="32"/>
          <w:szCs w:val="32"/>
        </w:rPr>
        <w:t>补偿代偿标准</w:t>
      </w:r>
    </w:p>
    <w:p w14:paraId="75E10705">
      <w:pPr>
        <w:keepNext w:val="0"/>
        <w:keepLines w:val="0"/>
        <w:pageBreakBefore w:val="0"/>
        <w:wordWrap/>
        <w:overflowPunct/>
        <w:topLinePunct w:val="0"/>
        <w:bidi w:val="0"/>
        <w:adjustRightInd w:val="0"/>
        <w:snapToGrid w:val="0"/>
        <w:spacing w:line="560" w:lineRule="exact"/>
        <w:ind w:left="0" w:firstLine="659" w:firstLineChars="200"/>
        <w:textAlignment w:val="baseline"/>
        <w:outlineLvl w:val="1"/>
        <w:rPr>
          <w:rFonts w:hint="eastAsia" w:ascii="楷体_GB2312" w:hAnsi="楷体_GB2312" w:eastAsia="楷体_GB2312" w:cs="楷体_GB2312"/>
          <w:sz w:val="32"/>
          <w:szCs w:val="32"/>
        </w:rPr>
      </w:pPr>
      <w:r>
        <w:rPr>
          <w:rFonts w:hint="eastAsia" w:ascii="楷体_GB2312" w:hAnsi="楷体_GB2312" w:eastAsia="楷体_GB2312" w:cs="楷体_GB2312"/>
          <w:b/>
          <w:bCs/>
          <w:spacing w:val="4"/>
          <w:sz w:val="32"/>
          <w:szCs w:val="32"/>
        </w:rPr>
        <w:t>（一）补偿代偿的教育阶段</w:t>
      </w:r>
    </w:p>
    <w:p w14:paraId="394600A9">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高校毕业生只能申请毕业时所就读教育阶段的补偿代偿资金。如专升本毕业生只能申请本科教育阶段的补偿代偿资金，不能申请专科教育阶段的补偿代偿资金；本硕连读毕业生，只能申请硕士教育阶段的补偿代偿资金，不能申请本科教育阶段的补偿代偿资金。</w:t>
      </w:r>
    </w:p>
    <w:p w14:paraId="30AF6B34">
      <w:pPr>
        <w:keepNext w:val="0"/>
        <w:keepLines w:val="0"/>
        <w:pageBreakBefore w:val="0"/>
        <w:wordWrap/>
        <w:overflowPunct/>
        <w:topLinePunct w:val="0"/>
        <w:bidi w:val="0"/>
        <w:adjustRightInd w:val="0"/>
        <w:snapToGrid w:val="0"/>
        <w:spacing w:before="1" w:line="560" w:lineRule="exact"/>
        <w:ind w:left="692"/>
        <w:textAlignment w:val="baseline"/>
        <w:outlineLvl w:val="1"/>
        <w:rPr>
          <w:rFonts w:hint="eastAsia" w:ascii="楷体_GB2312" w:hAnsi="楷体_GB2312" w:eastAsia="楷体_GB2312" w:cs="楷体_GB2312"/>
          <w:sz w:val="32"/>
          <w:szCs w:val="32"/>
        </w:rPr>
      </w:pPr>
      <w:r>
        <w:rPr>
          <w:rFonts w:hint="eastAsia" w:ascii="楷体_GB2312" w:hAnsi="楷体_GB2312" w:eastAsia="楷体_GB2312" w:cs="楷体_GB2312"/>
          <w:b/>
          <w:bCs/>
          <w:spacing w:val="4"/>
          <w:sz w:val="32"/>
          <w:szCs w:val="32"/>
        </w:rPr>
        <w:t>（二）补偿代偿方式的选择</w:t>
      </w:r>
    </w:p>
    <w:p w14:paraId="720887FF">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高校毕业生只能选择申请学费补偿或国家助学贷款代偿其中一种，在补偿代偿的教育阶段内，不能在某些年份申请学费补偿，其他年份申请国家助学贷款代偿。</w:t>
      </w:r>
    </w:p>
    <w:p w14:paraId="35744894">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3" w:firstLineChars="200"/>
        <w:jc w:val="both"/>
        <w:textAlignment w:val="baseline"/>
        <w:rPr>
          <w:rFonts w:hint="default" w:ascii="仿宋_GB2312" w:hAnsi="仿宋_GB2312" w:eastAsia="仿宋_GB2312" w:cs="仿宋_GB2312"/>
          <w:b/>
          <w:bCs/>
          <w:snapToGrid/>
          <w:spacing w:val="0"/>
          <w:kern w:val="2"/>
          <w:sz w:val="32"/>
          <w:szCs w:val="32"/>
          <w:u w:val="none"/>
          <w:lang w:val="en-US" w:eastAsia="zh-CN"/>
        </w:rPr>
      </w:pPr>
      <w:r>
        <w:rPr>
          <w:rFonts w:hint="eastAsia" w:ascii="仿宋_GB2312" w:hAnsi="仿宋_GB2312" w:eastAsia="仿宋_GB2312" w:cs="仿宋_GB2312"/>
          <w:b/>
          <w:bCs/>
          <w:snapToGrid/>
          <w:spacing w:val="0"/>
          <w:kern w:val="2"/>
          <w:sz w:val="32"/>
          <w:szCs w:val="32"/>
          <w:u w:val="none"/>
          <w:lang w:val="en-US" w:eastAsia="zh-CN"/>
        </w:rPr>
        <w:t>（三）补偿标准审核</w:t>
      </w:r>
    </w:p>
    <w:p w14:paraId="44CD4500">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r>
        <w:rPr>
          <w:rFonts w:hint="eastAsia" w:ascii="仿宋_GB2312" w:hAnsi="仿宋_GB2312" w:eastAsia="仿宋_GB2312" w:cs="仿宋_GB2312"/>
          <w:snapToGrid/>
          <w:spacing w:val="0"/>
          <w:kern w:val="2"/>
          <w:sz w:val="32"/>
          <w:szCs w:val="32"/>
          <w:u w:val="none"/>
          <w:lang w:val="en-US" w:eastAsia="zh-CN"/>
        </w:rPr>
        <w:t>毕业生在校学习期间每年实际缴纳的学费或获得的国家助学贷款低于补偿代偿标准的，按照实际缴纳的学费或获得的国家助学贷款金额实行补偿代偿。毕业生在校学习期间每年实际缴纳的学费或获得的国家助学贷款高于补偿代偿标准的，按照标准实行补偿代偿。</w:t>
      </w:r>
    </w:p>
    <w:p w14:paraId="1C4F973F">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baseline"/>
        <w:rPr>
          <w:rFonts w:hint="eastAsia" w:ascii="仿宋_GB2312" w:hAnsi="仿宋_GB2312" w:eastAsia="仿宋_GB2312" w:cs="仿宋_GB2312"/>
          <w:snapToGrid/>
          <w:spacing w:val="0"/>
          <w:kern w:val="2"/>
          <w:sz w:val="32"/>
          <w:szCs w:val="32"/>
          <w:u w:val="none"/>
          <w:lang w:val="en-US" w:eastAsia="zh-CN"/>
        </w:rPr>
      </w:pPr>
    </w:p>
    <w:p w14:paraId="6E5719D6">
      <w:pPr>
        <w:pStyle w:val="3"/>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right="0" w:rightChars="0"/>
        <w:jc w:val="both"/>
        <w:textAlignment w:val="baseline"/>
        <w:rPr>
          <w:rFonts w:hint="eastAsia" w:ascii="仿宋_GB2312" w:hAnsi="仿宋_GB2312" w:eastAsia="仿宋_GB2312" w:cs="仿宋_GB2312"/>
          <w:snapToGrid/>
          <w:spacing w:val="0"/>
          <w:kern w:val="2"/>
          <w:sz w:val="32"/>
          <w:szCs w:val="32"/>
          <w:u w:val="none"/>
          <w:lang w:val="en-US" w:eastAsia="zh-CN"/>
        </w:rPr>
      </w:pPr>
    </w:p>
    <w:p w14:paraId="17AE4BF5">
      <w:pPr>
        <w:keepNext w:val="0"/>
        <w:keepLines w:val="0"/>
        <w:pageBreakBefore w:val="0"/>
        <w:wordWrap/>
        <w:overflowPunct/>
        <w:topLinePunct w:val="0"/>
        <w:bidi w:val="0"/>
        <w:adjustRightInd w:val="0"/>
        <w:snapToGrid w:val="0"/>
        <w:spacing w:line="560" w:lineRule="exact"/>
        <w:textAlignment w:val="baseline"/>
        <w:rPr>
          <w:rFonts w:hint="eastAsia" w:ascii="仿宋_GB2312" w:hAnsi="仿宋_GB2312" w:eastAsia="仿宋_GB2312" w:cs="仿宋_GB2312"/>
          <w:sz w:val="32"/>
          <w:szCs w:val="32"/>
          <w:u w:val="none"/>
        </w:rPr>
      </w:pPr>
    </w:p>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07852"/>
    <w:rsid w:val="0026130D"/>
    <w:rsid w:val="008C7DF0"/>
    <w:rsid w:val="00930024"/>
    <w:rsid w:val="016245C6"/>
    <w:rsid w:val="01A544B3"/>
    <w:rsid w:val="026305F6"/>
    <w:rsid w:val="027125E7"/>
    <w:rsid w:val="029562D6"/>
    <w:rsid w:val="02C170CB"/>
    <w:rsid w:val="03C230FA"/>
    <w:rsid w:val="045D72C7"/>
    <w:rsid w:val="04DE21B6"/>
    <w:rsid w:val="04E83035"/>
    <w:rsid w:val="04F73278"/>
    <w:rsid w:val="05027D80"/>
    <w:rsid w:val="050D65F7"/>
    <w:rsid w:val="0539563E"/>
    <w:rsid w:val="054368E5"/>
    <w:rsid w:val="05467D5B"/>
    <w:rsid w:val="0580326D"/>
    <w:rsid w:val="05BC001D"/>
    <w:rsid w:val="05CD222A"/>
    <w:rsid w:val="0616772D"/>
    <w:rsid w:val="061A5470"/>
    <w:rsid w:val="066606B5"/>
    <w:rsid w:val="06823015"/>
    <w:rsid w:val="071F2612"/>
    <w:rsid w:val="0748600C"/>
    <w:rsid w:val="08CA47FF"/>
    <w:rsid w:val="097430E9"/>
    <w:rsid w:val="0A3463D4"/>
    <w:rsid w:val="0A430D0D"/>
    <w:rsid w:val="0B6B6E3A"/>
    <w:rsid w:val="0BBA0B5B"/>
    <w:rsid w:val="0C2573CF"/>
    <w:rsid w:val="0C5C1C12"/>
    <w:rsid w:val="0CB101B0"/>
    <w:rsid w:val="0D116EA1"/>
    <w:rsid w:val="0ED2440E"/>
    <w:rsid w:val="0F040A6B"/>
    <w:rsid w:val="0F114F36"/>
    <w:rsid w:val="10A36062"/>
    <w:rsid w:val="10AD6EE0"/>
    <w:rsid w:val="10EE172E"/>
    <w:rsid w:val="11160F29"/>
    <w:rsid w:val="11625F1D"/>
    <w:rsid w:val="11EE5A02"/>
    <w:rsid w:val="122E4051"/>
    <w:rsid w:val="12891287"/>
    <w:rsid w:val="12BE7183"/>
    <w:rsid w:val="12D44BF8"/>
    <w:rsid w:val="13BD38DE"/>
    <w:rsid w:val="1675224E"/>
    <w:rsid w:val="16D451C7"/>
    <w:rsid w:val="16FC64CC"/>
    <w:rsid w:val="1719707D"/>
    <w:rsid w:val="18827918"/>
    <w:rsid w:val="193C34F7"/>
    <w:rsid w:val="1AA50C28"/>
    <w:rsid w:val="1B2D1349"/>
    <w:rsid w:val="1C980A44"/>
    <w:rsid w:val="1D3249F5"/>
    <w:rsid w:val="1D385D84"/>
    <w:rsid w:val="1E1823CB"/>
    <w:rsid w:val="1E2A7DC2"/>
    <w:rsid w:val="1E546BED"/>
    <w:rsid w:val="1ED63AA6"/>
    <w:rsid w:val="1F5F1CED"/>
    <w:rsid w:val="1FD46237"/>
    <w:rsid w:val="201A79C2"/>
    <w:rsid w:val="201E5705"/>
    <w:rsid w:val="2027280B"/>
    <w:rsid w:val="207B4905"/>
    <w:rsid w:val="20F070A1"/>
    <w:rsid w:val="20FD356C"/>
    <w:rsid w:val="216B497A"/>
    <w:rsid w:val="220049B3"/>
    <w:rsid w:val="22AE0FC2"/>
    <w:rsid w:val="22BD2FB3"/>
    <w:rsid w:val="22D30A28"/>
    <w:rsid w:val="232F2389"/>
    <w:rsid w:val="23353491"/>
    <w:rsid w:val="246C2EE2"/>
    <w:rsid w:val="247C0C4C"/>
    <w:rsid w:val="251946ED"/>
    <w:rsid w:val="2584600A"/>
    <w:rsid w:val="25E35426"/>
    <w:rsid w:val="267C3185"/>
    <w:rsid w:val="26C30DB4"/>
    <w:rsid w:val="27A720F5"/>
    <w:rsid w:val="27D8088F"/>
    <w:rsid w:val="28397580"/>
    <w:rsid w:val="29D37560"/>
    <w:rsid w:val="2A443FBA"/>
    <w:rsid w:val="2AA131BA"/>
    <w:rsid w:val="2B0B2D29"/>
    <w:rsid w:val="2C1A3224"/>
    <w:rsid w:val="2CF717B7"/>
    <w:rsid w:val="2D2105E2"/>
    <w:rsid w:val="2D9C5EBB"/>
    <w:rsid w:val="2ECD27D0"/>
    <w:rsid w:val="2F634EE2"/>
    <w:rsid w:val="3034062C"/>
    <w:rsid w:val="30751371"/>
    <w:rsid w:val="3095731D"/>
    <w:rsid w:val="315A40C3"/>
    <w:rsid w:val="327F64D7"/>
    <w:rsid w:val="33770F5C"/>
    <w:rsid w:val="33A65CE5"/>
    <w:rsid w:val="33D60378"/>
    <w:rsid w:val="355F439E"/>
    <w:rsid w:val="35647C06"/>
    <w:rsid w:val="357F67EE"/>
    <w:rsid w:val="37305FF2"/>
    <w:rsid w:val="37386C54"/>
    <w:rsid w:val="37FA215C"/>
    <w:rsid w:val="39363667"/>
    <w:rsid w:val="3A7461F5"/>
    <w:rsid w:val="3A8D5509"/>
    <w:rsid w:val="3B6E0E96"/>
    <w:rsid w:val="3B8C57C0"/>
    <w:rsid w:val="3C7C3A87"/>
    <w:rsid w:val="3CE84C78"/>
    <w:rsid w:val="3E1C0B4E"/>
    <w:rsid w:val="3E614CE2"/>
    <w:rsid w:val="3EA25DC3"/>
    <w:rsid w:val="3FC217B1"/>
    <w:rsid w:val="40204729"/>
    <w:rsid w:val="412A4AB4"/>
    <w:rsid w:val="41A151D1"/>
    <w:rsid w:val="42334BE8"/>
    <w:rsid w:val="425A03C6"/>
    <w:rsid w:val="42B02F14"/>
    <w:rsid w:val="430622FC"/>
    <w:rsid w:val="43302ED5"/>
    <w:rsid w:val="43422D96"/>
    <w:rsid w:val="43911BC6"/>
    <w:rsid w:val="445D7CFA"/>
    <w:rsid w:val="44C45FCB"/>
    <w:rsid w:val="44F05012"/>
    <w:rsid w:val="45237196"/>
    <w:rsid w:val="45570BED"/>
    <w:rsid w:val="45863281"/>
    <w:rsid w:val="458F65D9"/>
    <w:rsid w:val="46737CA9"/>
    <w:rsid w:val="470703F1"/>
    <w:rsid w:val="47574ED5"/>
    <w:rsid w:val="47680E90"/>
    <w:rsid w:val="48480CC1"/>
    <w:rsid w:val="484A67E7"/>
    <w:rsid w:val="484C798C"/>
    <w:rsid w:val="485B6C46"/>
    <w:rsid w:val="48E44E8E"/>
    <w:rsid w:val="49366D6C"/>
    <w:rsid w:val="49E52C6C"/>
    <w:rsid w:val="4A9D70A2"/>
    <w:rsid w:val="4BA97CC9"/>
    <w:rsid w:val="4BCA036B"/>
    <w:rsid w:val="4C52210E"/>
    <w:rsid w:val="4CA26BF2"/>
    <w:rsid w:val="4CBD3A2C"/>
    <w:rsid w:val="4CBF791F"/>
    <w:rsid w:val="4D4B1038"/>
    <w:rsid w:val="4D6B3488"/>
    <w:rsid w:val="4DA62712"/>
    <w:rsid w:val="4DB0533F"/>
    <w:rsid w:val="4DFC0584"/>
    <w:rsid w:val="4EC217CD"/>
    <w:rsid w:val="4ECE0172"/>
    <w:rsid w:val="4F2C4E99"/>
    <w:rsid w:val="4F2C6C47"/>
    <w:rsid w:val="4FA26F09"/>
    <w:rsid w:val="4FB76E58"/>
    <w:rsid w:val="5133250E"/>
    <w:rsid w:val="51FD35E2"/>
    <w:rsid w:val="52285DEB"/>
    <w:rsid w:val="522E717A"/>
    <w:rsid w:val="523522B6"/>
    <w:rsid w:val="524E3378"/>
    <w:rsid w:val="538162CA"/>
    <w:rsid w:val="540A3316"/>
    <w:rsid w:val="54210D44"/>
    <w:rsid w:val="54442C85"/>
    <w:rsid w:val="547827D6"/>
    <w:rsid w:val="54994D7E"/>
    <w:rsid w:val="549E2395"/>
    <w:rsid w:val="56867584"/>
    <w:rsid w:val="56D77DE0"/>
    <w:rsid w:val="572E39BC"/>
    <w:rsid w:val="57DD1426"/>
    <w:rsid w:val="58201313"/>
    <w:rsid w:val="58515970"/>
    <w:rsid w:val="58E14F46"/>
    <w:rsid w:val="592B4413"/>
    <w:rsid w:val="5943350B"/>
    <w:rsid w:val="59823FB9"/>
    <w:rsid w:val="598A738C"/>
    <w:rsid w:val="5A5F4374"/>
    <w:rsid w:val="5A84202D"/>
    <w:rsid w:val="5A8C2C8F"/>
    <w:rsid w:val="5AD92379"/>
    <w:rsid w:val="5B6D0D13"/>
    <w:rsid w:val="5BB16E51"/>
    <w:rsid w:val="5BC07095"/>
    <w:rsid w:val="5BF94355"/>
    <w:rsid w:val="5C14118E"/>
    <w:rsid w:val="5C5D48E3"/>
    <w:rsid w:val="5CE648D9"/>
    <w:rsid w:val="5DC80482"/>
    <w:rsid w:val="5EB6477F"/>
    <w:rsid w:val="5EE25574"/>
    <w:rsid w:val="60A800F7"/>
    <w:rsid w:val="613C540F"/>
    <w:rsid w:val="62E25B42"/>
    <w:rsid w:val="6353259C"/>
    <w:rsid w:val="638210D3"/>
    <w:rsid w:val="63BE65AF"/>
    <w:rsid w:val="64267CB1"/>
    <w:rsid w:val="64DD2A65"/>
    <w:rsid w:val="64E9765C"/>
    <w:rsid w:val="650049A6"/>
    <w:rsid w:val="660B3602"/>
    <w:rsid w:val="669730E8"/>
    <w:rsid w:val="672E75A8"/>
    <w:rsid w:val="676F196F"/>
    <w:rsid w:val="67A40418"/>
    <w:rsid w:val="67F73E3E"/>
    <w:rsid w:val="681A5D7E"/>
    <w:rsid w:val="68637725"/>
    <w:rsid w:val="688356D2"/>
    <w:rsid w:val="693B7D5A"/>
    <w:rsid w:val="69E5416A"/>
    <w:rsid w:val="6A222CC8"/>
    <w:rsid w:val="6A6D457D"/>
    <w:rsid w:val="6A7C687C"/>
    <w:rsid w:val="6B99520C"/>
    <w:rsid w:val="6BD9385B"/>
    <w:rsid w:val="6C924135"/>
    <w:rsid w:val="6CA1081C"/>
    <w:rsid w:val="6D2531FB"/>
    <w:rsid w:val="6DA265FA"/>
    <w:rsid w:val="6DB4632D"/>
    <w:rsid w:val="6DCF13B9"/>
    <w:rsid w:val="6DD864C0"/>
    <w:rsid w:val="6E2E60E0"/>
    <w:rsid w:val="6FDE0BDB"/>
    <w:rsid w:val="70131A31"/>
    <w:rsid w:val="702E0619"/>
    <w:rsid w:val="71A46EE4"/>
    <w:rsid w:val="71EF5B86"/>
    <w:rsid w:val="720C6738"/>
    <w:rsid w:val="722A3062"/>
    <w:rsid w:val="73B47087"/>
    <w:rsid w:val="74122000"/>
    <w:rsid w:val="746C5BB4"/>
    <w:rsid w:val="74884070"/>
    <w:rsid w:val="74940C67"/>
    <w:rsid w:val="75585F01"/>
    <w:rsid w:val="76DF266D"/>
    <w:rsid w:val="771A36A5"/>
    <w:rsid w:val="77744E6C"/>
    <w:rsid w:val="777C1537"/>
    <w:rsid w:val="779276DF"/>
    <w:rsid w:val="77B77146"/>
    <w:rsid w:val="78306EF8"/>
    <w:rsid w:val="79077C59"/>
    <w:rsid w:val="792C5912"/>
    <w:rsid w:val="797572B9"/>
    <w:rsid w:val="79913FD2"/>
    <w:rsid w:val="79EB1329"/>
    <w:rsid w:val="7AD251AF"/>
    <w:rsid w:val="7B9D6653"/>
    <w:rsid w:val="7C0B21C9"/>
    <w:rsid w:val="7C1873ED"/>
    <w:rsid w:val="7CBC0D5A"/>
    <w:rsid w:val="7D0E5A5A"/>
    <w:rsid w:val="7E7F4735"/>
    <w:rsid w:val="7E933D3D"/>
    <w:rsid w:val="7E971A7F"/>
    <w:rsid w:val="7EA1645A"/>
    <w:rsid w:val="7F2C2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仿宋" w:hAnsi="仿宋" w:eastAsia="仿宋" w:cs="仿宋"/>
      <w:sz w:val="35"/>
      <w:szCs w:val="35"/>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1942</Words>
  <Characters>2040</Characters>
  <Lines>0</Lines>
  <Paragraphs>0</Paragraphs>
  <TotalTime>1</TotalTime>
  <ScaleCrop>false</ScaleCrop>
  <LinksUpToDate>false</LinksUpToDate>
  <CharactersWithSpaces>2051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2025-04-17T08:25:00Z</dcterms:created>
  <dc:creator>Administrator</dc:creator>
  <cp:lastModifiedBy>学生资助的超级会员</cp:lastModifiedBy>
  <dcterms:modified xsi:type="dcterms:W3CDTF">2025-09-09T06:59:57Z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eyJoZGlkIjoiNzZmMjlkODgzMzhiZGNlZDMyOGM3NjRhMWNhODYwNmUiLCJ1c2VySWQiOiI0OTQ3NTIzNzMifQ==</vt:lpwstr>
  </property>
  <property fmtid="{D5CDD505-2E9C-101B-9397-08002B2CF9AE}" pid="4" name="ICV">
    <vt:lpwstr>9B1488C5CD6D4CA68D42120FAF31658D_13</vt:lpwstr>
  </property>
</Properties>
</file>