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D67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 w14:paraId="2AC719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7D1D57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第三届全国大学生职业规划大赛</w:t>
      </w:r>
    </w:p>
    <w:p w14:paraId="5C2363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 w14:paraId="72C77DA5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黑体" w:cs="仿宋_GB2312"/>
          <w:bCs/>
          <w:color w:val="000000"/>
          <w:szCs w:val="32"/>
        </w:rPr>
      </w:pPr>
    </w:p>
    <w:p w14:paraId="3105C3EB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 w14:paraId="15E3B628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，通过学习实践提升综合素质和专业能力，体现正确的择业就业观念。参赛学生可获得实习机会。</w:t>
      </w:r>
    </w:p>
    <w:p w14:paraId="20DB6F19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二、参赛组别和对象</w:t>
      </w:r>
    </w:p>
    <w:p w14:paraId="5BB7E2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成长赛道设高教组和职教组，</w:t>
      </w:r>
      <w:r>
        <w:rPr>
          <w:rFonts w:hint="eastAsia" w:ascii="仿宋_GB2312" w:hAnsi="仿宋_GB2312" w:cs="仿宋_GB2312"/>
        </w:rPr>
        <w:t>参赛对象为普通</w:t>
      </w:r>
      <w:r>
        <w:rPr>
          <w:rFonts w:hint="eastAsia" w:ascii="仿宋_GB2312" w:hAnsi="仿宋_GB2312" w:cs="仿宋_GB2312"/>
          <w:bCs/>
          <w:color w:val="000000"/>
          <w:szCs w:val="32"/>
        </w:rPr>
        <w:t>高等学校全日制</w:t>
      </w:r>
      <w:r>
        <w:rPr>
          <w:rFonts w:hint="eastAsia" w:cs="仿宋_GB2312"/>
        </w:rPr>
        <w:t>本、专科非毕业</w:t>
      </w:r>
      <w:r>
        <w:rPr>
          <w:rFonts w:hint="eastAsia" w:ascii="仿宋_GB2312" w:hAnsi="仿宋_GB2312" w:cs="仿宋_GB2312"/>
          <w:bCs/>
          <w:color w:val="000000"/>
          <w:szCs w:val="32"/>
        </w:rPr>
        <w:t>年级在校学生。高教组主要面向普通</w:t>
      </w:r>
      <w:r>
        <w:rPr>
          <w:rFonts w:hint="eastAsia" w:ascii="仿宋_GB2312" w:hAnsi="仿宋_GB2312" w:cs="仿宋_GB2312"/>
          <w:color w:val="000000"/>
          <w:szCs w:val="32"/>
        </w:rPr>
        <w:t>本科非毕业年级学生，</w:t>
      </w:r>
      <w:r>
        <w:rPr>
          <w:rFonts w:hint="eastAsia" w:ascii="仿宋_GB2312" w:hAnsi="仿宋_GB2312" w:cs="仿宋_GB2312"/>
          <w:bCs/>
          <w:color w:val="000000"/>
          <w:szCs w:val="32"/>
        </w:rPr>
        <w:t>职教组主要面向职教本科、高职（专科）非毕业年级学生</w:t>
      </w:r>
      <w:r>
        <w:rPr>
          <w:rFonts w:hint="eastAsia" w:cs="仿宋_GB2312"/>
          <w:bCs/>
          <w:color w:val="000000"/>
          <w:szCs w:val="32"/>
        </w:rPr>
        <w:t>。</w:t>
      </w:r>
    </w:p>
    <w:p w14:paraId="6FADB3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三、参赛材料要求</w:t>
      </w:r>
    </w:p>
    <w:p w14:paraId="1A0304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23924C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 w14:paraId="4D6C86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（二）生涯发展展示（PPT格式，不超过50MB；可加入视频）。</w:t>
      </w:r>
    </w:p>
    <w:p w14:paraId="6635E7C4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四、比赛环节</w:t>
      </w:r>
    </w:p>
    <w:p w14:paraId="0C3CE3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成长赛道设主题陈述、评委提问和天降实习</w:t>
      </w:r>
      <w:r>
        <w:rPr>
          <w:rFonts w:cs="仿宋_GB2312"/>
          <w:color w:val="000000"/>
          <w:szCs w:val="32"/>
        </w:rPr>
        <w:t>offer</w:t>
      </w:r>
      <w:r>
        <w:rPr>
          <w:rFonts w:hint="eastAsia" w:cs="仿宋_GB2312"/>
          <w:color w:val="000000"/>
          <w:szCs w:val="32"/>
        </w:rPr>
        <w:t>（实习意向）环节。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08BB20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（一）主题陈述（7分钟）：</w:t>
      </w:r>
      <w:r>
        <w:rPr>
          <w:rFonts w:hint="eastAsia" w:cs="仿宋_GB2312"/>
          <w:color w:val="000000"/>
          <w:szCs w:val="32"/>
        </w:rPr>
        <w:t>选手结合生涯发展报告作陈述。</w:t>
      </w:r>
    </w:p>
    <w:p w14:paraId="6EEAA0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（二）评委提问（5分钟）：</w:t>
      </w:r>
      <w:r>
        <w:rPr>
          <w:rFonts w:hint="eastAsia" w:cs="仿宋_GB2312"/>
          <w:color w:val="000000"/>
          <w:szCs w:val="32"/>
        </w:rPr>
        <w:t>评委结合选手陈述和现场表现提问。</w:t>
      </w:r>
    </w:p>
    <w:p w14:paraId="053CAC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color w:val="000000"/>
          <w:szCs w:val="32"/>
        </w:rPr>
      </w:pPr>
      <w:r>
        <w:rPr>
          <w:rFonts w:hint="eastAsia" w:cs="仿宋_GB2312"/>
        </w:rPr>
        <w:t>（三）天降实习offer（2分钟）：</w:t>
      </w:r>
      <w:r>
        <w:rPr>
          <w:rFonts w:hint="eastAsia" w:ascii="仿宋_GB2312" w:hAnsi="仿宋_GB2312" w:cs="仿宋_GB2312"/>
          <w:color w:val="000000"/>
          <w:szCs w:val="32"/>
        </w:rPr>
        <w:t>用人单位根据选手表现，决定是否给出实习意向，并对选手</w:t>
      </w:r>
      <w:r>
        <w:rPr>
          <w:rFonts w:hint="eastAsia" w:ascii="仿宋_GB2312" w:hAnsi="仿宋_GB2312" w:cs="仿宋_GB2312"/>
        </w:rPr>
        <w:t>作</w:t>
      </w:r>
      <w:r>
        <w:rPr>
          <w:rFonts w:hint="eastAsia" w:ascii="仿宋_GB2312" w:hAnsi="仿宋_GB2312" w:cs="仿宋_GB2312"/>
          <w:color w:val="000000"/>
          <w:szCs w:val="32"/>
        </w:rPr>
        <w:t>点评。</w:t>
      </w:r>
    </w:p>
    <w:p w14:paraId="0C02699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3"/>
      </w:tblGrid>
      <w:tr w14:paraId="4FE82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vAlign w:val="center"/>
          </w:tcPr>
          <w:p w14:paraId="3FE36F14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738C4EC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0A4BB91E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7A2C0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vAlign w:val="center"/>
          </w:tcPr>
          <w:p w14:paraId="2E0E02E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62590748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5C2539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paraId="7476B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vAlign w:val="center"/>
          </w:tcPr>
          <w:p w14:paraId="73ACF13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43CA3D6A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6ADBDC5C">
            <w:pPr>
              <w:jc w:val="center"/>
              <w:rPr>
                <w:sz w:val="28"/>
                <w:szCs w:val="28"/>
              </w:rPr>
            </w:pPr>
          </w:p>
        </w:tc>
      </w:tr>
      <w:tr w14:paraId="08A2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vAlign w:val="center"/>
          </w:tcPr>
          <w:p w14:paraId="363F896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0040C77E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7B43432C">
            <w:pPr>
              <w:jc w:val="center"/>
              <w:rPr>
                <w:sz w:val="28"/>
                <w:szCs w:val="28"/>
              </w:rPr>
            </w:pPr>
          </w:p>
        </w:tc>
      </w:tr>
      <w:tr w14:paraId="245D4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vAlign w:val="center"/>
          </w:tcPr>
          <w:p w14:paraId="0DA527C9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2BA0D600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5A99DF2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paraId="6DF7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vAlign w:val="center"/>
          </w:tcPr>
          <w:p w14:paraId="60C9F65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0CF8B350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7B933587">
            <w:pPr>
              <w:jc w:val="center"/>
              <w:rPr>
                <w:sz w:val="28"/>
                <w:szCs w:val="28"/>
              </w:rPr>
            </w:pPr>
          </w:p>
        </w:tc>
      </w:tr>
      <w:tr w14:paraId="6238B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vAlign w:val="center"/>
          </w:tcPr>
          <w:p w14:paraId="3356A4C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482132D9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43C982B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paraId="27599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shd w:val="clear" w:color="auto" w:fill="auto"/>
            <w:vAlign w:val="center"/>
          </w:tcPr>
          <w:p w14:paraId="2F921BB3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20356E78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057156A2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3F044D01">
      <w:pPr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六、奖项设置</w:t>
      </w:r>
    </w:p>
    <w:p w14:paraId="39B57F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成长赛道设置金奖、银奖、铜奖，以及优秀指导教师奖等奖项。</w:t>
      </w:r>
    </w:p>
    <w:p w14:paraId="3DABFF75">
      <w:pPr>
        <w:widowControl/>
        <w:adjustRightInd/>
        <w:snapToGrid/>
        <w:rPr>
          <w:rFonts w:cs="仿宋_GB231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fmt="decimal" w:start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F3E94D-A245-4B19-AC0B-AD2B399EC7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04AA428-5EA7-4BF2-B911-D75BD90050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B24969F-5EE7-4C2C-9AEF-25BA348EB4D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71C6B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D9360">
                          <w:pPr>
                            <w:pStyle w:val="7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C2D9360">
                    <w:pPr>
                      <w:pStyle w:val="7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03ED8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B0F64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5E4E7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538AF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A411C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9E266E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139DA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1442</Words>
  <Characters>1516</Characters>
  <Lines>5</Lines>
  <Paragraphs>16</Paragraphs>
  <TotalTime>72</TotalTime>
  <ScaleCrop>false</ScaleCrop>
  <LinksUpToDate>false</LinksUpToDate>
  <CharactersWithSpaces>1517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2022-04-10T00:51:00Z</dcterms:created>
  <dc:creator>Dell</dc:creator>
  <cp:lastModifiedBy>zZ</cp:lastModifiedBy>
  <cp:lastPrinted>2025-10-13T17:04:00Z</cp:lastPrinted>
  <dcterms:modified xsi:type="dcterms:W3CDTF">2025-10-21T08:49:26Z</dcterms:modified>
  <cp:revision>1224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B0CC590B4EB1451FAA5D96F2E0683F6D</vt:lpwstr>
  </property>
  <property fmtid="{D5CDD505-2E9C-101B-9397-08002B2CF9AE}" pid="4" name="KSOTemplateDocerSaveRecord">
    <vt:lpwstr>eyJoZGlkIjoiMTgyY2Y5Y2UxZjkwY2NiYzg1MTM4ZmQzOTFhYWJhY2IiLCJ1c2VySWQiOiIzNTY2Mzk5NDYifQ==</vt:lpwstr>
  </property>
</Properties>
</file>