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成长赛道方案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黑体" w:cs="仿宋_GB2312"/>
          <w:bCs/>
          <w:color w:val="000000"/>
          <w:szCs w:val="32"/>
        </w:rPr>
      </w:pP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一、比赛内容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考察学生</w:t>
      </w:r>
      <w:r>
        <w:rPr>
          <w:rFonts w:hint="eastAsia" w:cs="仿宋_GB2312"/>
        </w:rPr>
        <w:t>树立生涯发展理念并合理设定职业目标</w:t>
      </w:r>
      <w:r>
        <w:rPr>
          <w:rFonts w:hint="eastAsia" w:cs="仿宋_GB2312"/>
          <w:color w:val="000000"/>
          <w:szCs w:val="32"/>
        </w:rPr>
        <w:t>、围绕实现目标持续行动并不断调整的成长过程</w:t>
      </w:r>
      <w:r>
        <w:rPr>
          <w:rFonts w:hint="eastAsia" w:cs="仿宋_GB2312"/>
        </w:rPr>
        <w:t>，通过学习实践提升综合素质和专业能力，体现正确的择业就业观念。参赛学生可获得实习机会。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二、参赛组别和对象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成长赛道设高教组，</w:t>
      </w:r>
      <w:r>
        <w:rPr>
          <w:rFonts w:hint="eastAsia" w:ascii="仿宋_GB2312" w:hAnsi="仿宋_GB2312" w:cs="仿宋_GB2312"/>
        </w:rPr>
        <w:t>参赛对象为普通</w:t>
      </w:r>
      <w:r>
        <w:rPr>
          <w:rFonts w:hint="eastAsia" w:ascii="仿宋_GB2312" w:hAnsi="仿宋_GB2312" w:cs="仿宋_GB2312"/>
          <w:bCs/>
          <w:color w:val="000000"/>
          <w:szCs w:val="32"/>
        </w:rPr>
        <w:t>高等学校全日制</w:t>
      </w:r>
      <w:r>
        <w:rPr>
          <w:rFonts w:hint="eastAsia" w:cs="仿宋_GB2312"/>
        </w:rPr>
        <w:t>本科非毕业</w:t>
      </w:r>
      <w:r>
        <w:rPr>
          <w:rFonts w:hint="eastAsia" w:ascii="仿宋_GB2312" w:hAnsi="仿宋_GB2312" w:cs="仿宋_GB2312"/>
          <w:bCs/>
          <w:color w:val="000000"/>
          <w:szCs w:val="32"/>
        </w:rPr>
        <w:t>年级在校学生。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三、参赛材料要求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  <w:color w:val="000000"/>
          <w:szCs w:val="32"/>
        </w:rPr>
        <w:t>（一）生涯发展</w:t>
      </w:r>
      <w:r>
        <w:rPr>
          <w:rFonts w:hint="eastAsia" w:ascii="仿宋_GB2312" w:hAnsi="仿宋_GB2312" w:cs="仿宋_GB2312"/>
          <w:color w:val="000000"/>
          <w:szCs w:val="32"/>
        </w:rPr>
        <w:t>报告：介绍设定职业目标的过程；实现职业目标的具体行动和成效；职业目标及行动的动态调整等（</w:t>
      </w:r>
      <w:r>
        <w:t>PDF</w:t>
      </w:r>
      <w:r>
        <w:rPr>
          <w:rFonts w:hint="eastAsia" w:ascii="仿宋_GB2312" w:hAnsi="仿宋_GB2312" w:cs="仿宋_GB2312"/>
        </w:rPr>
        <w:t>格式，文字不超过</w:t>
      </w:r>
      <w:r>
        <w:t>2000</w:t>
      </w:r>
      <w:r>
        <w:rPr>
          <w:rFonts w:hint="eastAsia" w:ascii="仿宋_GB2312" w:hAnsi="仿宋_GB2312" w:cs="仿宋_GB2312"/>
        </w:rPr>
        <w:t>字，图表不超</w:t>
      </w:r>
      <w:r>
        <w:t>过5</w:t>
      </w:r>
      <w:r>
        <w:rPr>
          <w:rFonts w:hint="eastAsia"/>
        </w:rPr>
        <w:t>张</w:t>
      </w:r>
      <w:r>
        <w:rPr>
          <w:rFonts w:hint="eastAsia" w:cs="仿宋_GB2312"/>
          <w:color w:val="000000"/>
          <w:szCs w:val="32"/>
        </w:rPr>
        <w:t>）</w:t>
      </w:r>
      <w:r>
        <w:rPr>
          <w:rFonts w:hint="eastAsia" w:cs="仿宋_GB231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（二）生涯发展展示（PPT格式，不超过50MB；可加入视频）。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四、比赛环节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>成长赛道设主题陈述、评委提问和天降实习</w:t>
      </w:r>
      <w:r>
        <w:rPr>
          <w:rFonts w:cs="仿宋_GB2312"/>
          <w:color w:val="000000"/>
          <w:szCs w:val="32"/>
        </w:rPr>
        <w:t>offer</w:t>
      </w:r>
      <w:r>
        <w:rPr>
          <w:rFonts w:hint="eastAsia" w:cs="仿宋_GB2312"/>
          <w:color w:val="000000"/>
          <w:szCs w:val="32"/>
        </w:rPr>
        <w:t>（实习意向）环节。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（一）主题陈述（7分钟）：</w:t>
      </w:r>
      <w:r>
        <w:rPr>
          <w:rFonts w:hint="eastAsia" w:cs="仿宋_GB2312"/>
          <w:color w:val="000000"/>
          <w:szCs w:val="32"/>
        </w:rPr>
        <w:t>选手结合生涯发展报告作陈述。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（二）评委提问（5分钟）：</w:t>
      </w:r>
      <w:r>
        <w:rPr>
          <w:rFonts w:hint="eastAsia" w:cs="仿宋_GB2312"/>
          <w:color w:val="000000"/>
          <w:szCs w:val="32"/>
        </w:rPr>
        <w:t>评委结合选手陈述和现场表现提问。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评审标准</w:t>
      </w:r>
    </w:p>
    <w:tbl>
      <w:tblPr>
        <w:tblStyle w:val="12"/>
        <w:tblpPr w:leftFromText="180" w:rightFromText="180" w:vertAnchor="text" w:horzAnchor="page" w:tblpX="1875" w:tblpY="68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6777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9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exact"/>
        </w:trPr>
        <w:tc>
          <w:tcPr>
            <w:tcW w:w="797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0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exact"/>
        </w:trPr>
        <w:tc>
          <w:tcPr>
            <w:tcW w:w="797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0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exact"/>
        </w:trPr>
        <w:tc>
          <w:tcPr>
            <w:tcW w:w="797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0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97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>
            <w:pPr>
              <w:keepNext w:val="0"/>
              <w:keepLines w:val="0"/>
              <w:suppressLineNumbers w:val="0"/>
              <w:adjustRightInd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0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797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>
            <w:pPr>
              <w:keepNext w:val="0"/>
              <w:keepLines w:val="0"/>
              <w:suppressLineNumbers w:val="0"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0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79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>
            <w:pPr>
              <w:keepNext w:val="0"/>
              <w:keepLines w:val="0"/>
              <w:suppressLineNumbers w:val="0"/>
              <w:adjustRightInd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7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6"/>
                <w:szCs w:val="26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160" w:leftChars="-50" w:right="-160" w:rightChars="-5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就业赛道方案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一、比赛内容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考察学生求职实战能力，个人综合素质、专业能力与目标职业的契合度，个人发展路径与就业市场需求的适应度。参赛学生可获得岗位录用意向。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二、参赛组别和对象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就业</w:t>
      </w:r>
      <w:r>
        <w:rPr>
          <w:rFonts w:hint="eastAsia" w:ascii="仿宋_GB2312" w:hAnsi="仿宋_GB2312" w:cs="仿宋_GB2312"/>
        </w:rPr>
        <w:t>赛道设高教本科生组、高教研究生组，参赛对象为普通高等学校全日制本科高年级计划求职学生</w:t>
      </w:r>
      <w:r>
        <w:rPr>
          <w:rFonts w:hint="eastAsia" w:ascii="仿宋_GB2312" w:hAnsi="仿宋_GB2312" w:cs="仿宋_GB2312"/>
          <w:szCs w:val="32"/>
        </w:rPr>
        <w:t>，以及全体研究生</w:t>
      </w:r>
      <w:r>
        <w:rPr>
          <w:rFonts w:hint="eastAsia" w:ascii="仿宋_GB2312" w:hAnsi="仿宋_GB2312" w:cs="仿宋_GB2312"/>
        </w:rPr>
        <w:t>。高教本科生组面向普通本科三、四年级学生</w:t>
      </w:r>
      <w:r>
        <w:rPr>
          <w:rFonts w:hint="eastAsia" w:ascii="仿宋_GB2312" w:hAnsi="仿宋_GB2312" w:cs="仿宋_GB2312"/>
          <w:szCs w:val="32"/>
        </w:rPr>
        <w:t>，全体第二学士学位学生</w:t>
      </w:r>
      <w:r>
        <w:rPr>
          <w:rFonts w:hint="eastAsia" w:ascii="仿宋_GB2312" w:hAnsi="仿宋_GB2312" w:cs="仿宋_GB2312"/>
        </w:rPr>
        <w:t>；高教研究生组面向全体研究生</w:t>
      </w:r>
      <w:r>
        <w:rPr>
          <w:rFonts w:hint="eastAsia" w:cs="仿宋_GB231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三、参赛材料要求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（一）求职简历（PDF格式）。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（二）求职综合展示（PPT格式，不超过50MB；可加入视频）。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（三）辅助证明材料，包括实践、实习、获奖等证明材料（PDF格式，整合为单个文件，不超过50MB）。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四、比赛环节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就业赛道设主题陈述、综合面试、天降offer（录用意向）环节。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（一）主题陈述（6分钟）：选手结合求职综合展示PPT，陈述个人求职意向和职业准备情况。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仿宋_GB2312"/>
        </w:rPr>
        <w:t>（二）综合面试（6分钟）：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评委提出真实工作场景中可能遇到的问题，选手提出解决方案；评委结合选手陈述自由提问。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五、评审标准</w:t>
      </w:r>
    </w:p>
    <w:tbl>
      <w:tblPr>
        <w:tblStyle w:val="12"/>
        <w:tblW w:w="50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6750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852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67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7" w:type="pct"/>
            <w:vAlign w:val="center"/>
          </w:tcPr>
          <w:p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0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7" w:type="pct"/>
            <w:vAlign w:val="center"/>
          </w:tcPr>
          <w:p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470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岗位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7" w:type="pct"/>
            <w:vAlign w:val="center"/>
          </w:tcPr>
          <w:p>
            <w:pPr>
              <w:keepNext w:val="0"/>
              <w:keepLines w:val="0"/>
              <w:suppressLineNumbers w:val="0"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7" w:type="pct"/>
            <w:vAlign w:val="center"/>
          </w:tcPr>
          <w:p>
            <w:pPr>
              <w:keepNext w:val="0"/>
              <w:keepLines w:val="0"/>
              <w:suppressLineNumbers w:val="0"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exact"/>
          <w:jc w:val="center"/>
        </w:trPr>
        <w:tc>
          <w:tcPr>
            <w:tcW w:w="852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7" w:type="pct"/>
            <w:vAlign w:val="center"/>
          </w:tcPr>
          <w:p>
            <w:pPr>
              <w:keepNext w:val="0"/>
              <w:keepLines w:val="0"/>
              <w:suppressLineNumbers w:val="0"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default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852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677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6"/>
                <w:szCs w:val="26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160" w:leftChars="-50" w:right="-160" w:rightChars="-5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textAlignment w:val="auto"/>
        <w:rPr>
          <w:rFonts w:cs="仿宋_GB2312"/>
        </w:rPr>
      </w:pPr>
      <w:r>
        <w:rPr>
          <w:rFonts w:hint="eastAsia" w:cs="仿宋_GB2312"/>
        </w:rPr>
        <w:br w:type="page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eastAsia="黑体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210"/>
        <w:jc w:val="left"/>
        <w:textAlignment w:val="auto"/>
        <w:rPr>
          <w:rFonts w:asci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bCs/>
          <w:sz w:val="44"/>
          <w:szCs w:val="44"/>
        </w:rPr>
      </w:pPr>
      <w:r>
        <w:rPr>
          <w:rFonts w:hint="eastAsia" w:eastAsia="方正小标宋简体" w:cs="方正小标宋简体"/>
          <w:bCs/>
          <w:sz w:val="44"/>
          <w:szCs w:val="44"/>
        </w:rPr>
        <w:t>课程教学赛道方案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textAlignment w:val="auto"/>
        <w:rPr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一、比赛内容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cs="仿宋_GB2312"/>
          <w:szCs w:val="32"/>
        </w:rPr>
      </w:pPr>
      <w:r>
        <w:rPr>
          <w:rFonts w:hint="eastAsia" w:cs="仿宋_GB2312"/>
          <w:szCs w:val="32"/>
        </w:rPr>
        <w:t>围绕落实立德树人根本任务、促进高质量充分就业，考察高校面向国家社会发展需要和学生全面发展需求，开设的大学生职业发展与就业指导课程建设情况、改革创新和实施效果，以及授课教师教学水平。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二、参赛材料要求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（一）课程教学赛道参赛申报表。包括课程概述、课程目标、课程团队、特色创新点等方面内容。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（二）课程支撑材料。包括课程教案、评教结果及其他证明材料（合并成单个PDF格式文件，不超过30MB）。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val="en-US" w:eastAsia="zh-CN"/>
        </w:rPr>
        <w:t>三</w:t>
      </w:r>
      <w:r>
        <w:rPr>
          <w:rFonts w:hint="eastAsia"/>
          <w:szCs w:val="32"/>
        </w:rPr>
        <w:t>）参赛课程应保证相关参赛材料的原创性，不得抄袭、剽窃他人作品，如产生侵权行为或涉及知识产权纠纷，由参赛选手承担相应责任。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/>
          <w:szCs w:val="32"/>
        </w:rPr>
      </w:pPr>
      <w:r>
        <w:rPr>
          <w:rFonts w:hint="eastAsia"/>
          <w:szCs w:val="32"/>
        </w:rPr>
        <w:t>请在全国大学生职业规划大赛官网（网址：zgs.chsi.com.cn）下载课程教学赛道参赛申报表、课程支撑材料一览表等材料。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0"/>
        <w:rPr>
          <w:rFonts w:hint="eastAsia" w:eastAsia="黑体" w:cs="黑体"/>
          <w:szCs w:val="32"/>
          <w:lang w:val="en-US" w:eastAsia="zh-CN"/>
        </w:rPr>
      </w:pPr>
      <w:r>
        <w:rPr>
          <w:rFonts w:hint="eastAsia" w:eastAsia="黑体" w:cs="黑体"/>
          <w:szCs w:val="32"/>
          <w:lang w:val="en-US" w:eastAsia="zh-CN"/>
        </w:rPr>
        <w:t>三、赛程安排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/>
          <w:szCs w:val="32"/>
          <w:lang w:val="en-US" w:eastAsia="zh-CN"/>
        </w:rPr>
      </w:pPr>
      <w:r>
        <w:rPr>
          <w:rFonts w:hint="eastAsia"/>
          <w:szCs w:val="32"/>
          <w:lang w:val="en-US" w:eastAsia="zh-CN"/>
        </w:rPr>
        <w:t>各二级学院可推荐1名教师参赛，并于</w:t>
      </w:r>
      <w:r>
        <w:rPr>
          <w:rFonts w:hint="eastAsia"/>
          <w:b/>
          <w:bCs/>
          <w:szCs w:val="32"/>
          <w:lang w:val="en-US" w:eastAsia="zh-CN"/>
        </w:rPr>
        <w:t>11月10日</w:t>
      </w:r>
      <w:r>
        <w:rPr>
          <w:rFonts w:hint="eastAsia"/>
          <w:szCs w:val="32"/>
          <w:lang w:val="en-US" w:eastAsia="zh-CN"/>
        </w:rPr>
        <w:t>将申报材料上交到招生与就业处就业指导科，学校依据申报材料择优推荐1名选手参加省复赛</w:t>
      </w:r>
      <w:r>
        <w:rPr>
          <w:rFonts w:hint="eastAsia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  <w:lang w:val="en-US" w:eastAsia="zh-CN"/>
        </w:rPr>
        <w:t>四</w:t>
      </w:r>
      <w:r>
        <w:rPr>
          <w:rFonts w:hint="eastAsia" w:eastAsia="黑体" w:cs="黑体"/>
          <w:szCs w:val="32"/>
        </w:rPr>
        <w:t>、评审标准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5418"/>
        <w:gridCol w:w="856"/>
        <w:tblGridChange w:id="0">
          <w:tblGrid>
            <w:gridCol w:w="2248"/>
            <w:gridCol w:w="5418"/>
            <w:gridCol w:w="856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tblHeader/>
        </w:trPr>
        <w:tc>
          <w:tcPr>
            <w:tcW w:w="22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评价维度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评价要点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224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1.课程定位及目标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围绕国家经济社会发展需求和学校办学定位设置课程，与思想政治教育、专业教育深度融合，体现就业育人理念，突出专业性、前瞻性、实操性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default"/>
                <w:sz w:val="26"/>
                <w:szCs w:val="26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课程目标落实立德树人要求，以服务学生发展为中心，遵循学生成长规律，引导学生从实际出发选择职业和工作岗位、提升学生生涯规划能力和求职就业能力，促进高质量充分就业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2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 w:eastAsia="楷体_GB2312"/>
                <w:sz w:val="26"/>
                <w:szCs w:val="26"/>
              </w:rPr>
              <w:t>2.课程性质及覆盖面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eastAsia="楷体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课程正式纳入人才培养方案，面向有就业意愿或求职需要的学生群体开设，结合校情、学情设置必修课或选修课，合理确定课程开设年级、学时及学分，优先支持覆盖所有学生的必修课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default"/>
                <w:sz w:val="26"/>
                <w:szCs w:val="26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224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3.课程教师团队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课程教师团队负责人具备较高专业素养，熟练掌握生涯教育理论，具备就业指导专业能力，就业工作经验丰富，能够结合学校实际情况建立结构规模与授课学生覆盖面相匹配，专业素养过硬的教学团队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教师团队成员相对稳定，具有良好的梯队结构、学缘结构、职称结构，校外兼职教师配备合理，体现所在学校的学科专业或行业特色，满足课程教学实际需要，能够结合学生学情和需求进行有针对性的课程创新改革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224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 xml:space="preserve">4.课程内容及设计 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课程内容围绕生涯规划指导、就业观念引导、就业政策解读、求职技能提升等其中一个或多个方面组织设计，体现思想性、学术性和时代性相统一，兼顾课程共性与学校个性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综合运用多种教学策略，结合内容采用丰富的教学活动。注重教学互动，强化学生主体意识，能够通过教学有效引发学生思考和行动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内容与本地区，本学校相关政策、形势、案例结合良好，各类教学案例和资源有时效性，强化职业体验和就业实习实践，与理论授课协同配合，提升实践教学的有效性。鼓励学生结合课程学习完成大赛平台生涯闯关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</w:trPr>
        <w:tc>
          <w:tcPr>
            <w:tcW w:w="224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5.课程建设与改革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课程开设</w:t>
            </w:r>
            <w:r>
              <w:rPr>
                <w:rFonts w:hint="eastAsia"/>
                <w:sz w:val="26"/>
                <w:szCs w:val="26"/>
              </w:rPr>
              <w:t>3</w:t>
            </w:r>
            <w:r>
              <w:rPr>
                <w:rFonts w:hint="eastAsia" w:ascii="仿宋_GB2312" w:hAnsi="仿宋_GB2312" w:cs="仿宋_GB2312"/>
                <w:sz w:val="26"/>
                <w:szCs w:val="26"/>
              </w:rPr>
              <w:t>年以上，在建设发展过程中持续改进优化，课程资源等建设成果突出，出版或选用高质量教材，按需组织修订或更新调整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形成较有特色课程建设模式，教学研究及教改成果丰富，获得代表性教学奖励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有今后</w:t>
            </w:r>
            <w:r>
              <w:rPr>
                <w:rFonts w:hint="eastAsia"/>
                <w:sz w:val="26"/>
                <w:szCs w:val="26"/>
              </w:rPr>
              <w:t>3</w:t>
            </w:r>
            <w:r>
              <w:rPr>
                <w:rFonts w:hint="eastAsia" w:ascii="仿宋_GB2312" w:hAnsi="仿宋_GB2312" w:cs="仿宋_GB2312"/>
                <w:sz w:val="26"/>
                <w:szCs w:val="26"/>
              </w:rPr>
              <w:t>年的课程建设计划，改进方向明确，问题导向、效果导向突出，改进措施具体可行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exact"/>
        </w:trPr>
        <w:tc>
          <w:tcPr>
            <w:tcW w:w="224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6.课程特色创新点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注重通过理念创新、内容拓展、教学方法创新、技术手段运用等，不断提升课程质量。课程设计充分结合中国传统文化和时代需要，注重融入专业特色。鼓励结合学校特色和学生特点探索中国特色生涯教育理论创新，课程更好结合经济社会发展需要，实现课程与就业工作良性互动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default" w:ascii="仿宋_GB2312" w:hAnsi="仿宋_GB2312" w:cs="仿宋_GB2312"/>
                <w:sz w:val="26"/>
                <w:szCs w:val="26"/>
              </w:rPr>
              <w:t>教学中精准把握学生个性化诉求，运用AI赋能、体验式学习等手段</w:t>
            </w:r>
            <w:r>
              <w:rPr>
                <w:rFonts w:hint="eastAsia" w:ascii="仿宋_GB2312" w:hAnsi="仿宋_GB2312" w:cs="仿宋_GB2312"/>
                <w:sz w:val="26"/>
                <w:szCs w:val="26"/>
              </w:rPr>
              <w:t>开展教学方法创新，具备较强的借鉴和推广价值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exact"/>
        </w:trPr>
        <w:tc>
          <w:tcPr>
            <w:tcW w:w="224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7</w:t>
            </w:r>
            <w:r>
              <w:rPr>
                <w:rFonts w:hint="default" w:eastAsia="楷体_GB2312"/>
                <w:sz w:val="26"/>
                <w:szCs w:val="26"/>
              </w:rPr>
              <w:t>.</w:t>
            </w:r>
            <w:r>
              <w:rPr>
                <w:rFonts w:hint="eastAsia" w:eastAsia="楷体_GB2312"/>
                <w:sz w:val="26"/>
                <w:szCs w:val="26"/>
              </w:rPr>
              <w:t>课程实施成效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课程教学满足学生生涯规划和求职就业的真实需求，学生的评教结果满意度水平高，基于学生评教结果开展教学研究，持续改进优化课程教学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default"/>
                <w:sz w:val="26"/>
                <w:szCs w:val="26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</w:trPr>
        <w:tc>
          <w:tcPr>
            <w:tcW w:w="224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课程达到预期目标，学生更加积极投入专业学习、主动开展实习实践，学生就业去向与学校定位、人才培养目标总体一致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5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6"/>
                <w:szCs w:val="26"/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160" w:leftChars="-50" w:right="-160" w:rightChars="-50"/>
              <w:jc w:val="center"/>
              <w:rPr>
                <w:rFonts w:hint="default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left"/>
        <w:textAlignment w:val="auto"/>
        <w:outlineLvl w:val="0"/>
        <w:rPr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left"/>
        <w:textAlignment w:val="auto"/>
        <w:outlineLvl w:val="0"/>
        <w:rPr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left"/>
        <w:textAlignment w:val="auto"/>
        <w:outlineLvl w:val="0"/>
        <w:rPr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left"/>
        <w:textAlignment w:val="auto"/>
        <w:outlineLvl w:val="0"/>
        <w:rPr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  <w:sectPr>
          <w:headerReference r:id="rId3" w:type="default"/>
          <w:footerReference r:id="rId4" w:type="default"/>
          <w:pgSz w:w="11906" w:h="16838"/>
          <w:pgMar w:top="1417" w:right="1463" w:bottom="1417" w:left="1576" w:header="851" w:footer="1474" w:gutter="0"/>
          <w:pgNumType w:fmt="decimal" w:start="1"/>
          <w:cols w:space="425" w:num="1"/>
          <w:docGrid w:type="lines" w:linePitch="435" w:charSpace="0"/>
        </w:sect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eastAsia="黑体"/>
          <w:szCs w:val="32"/>
          <w:lang w:val="en-US" w:eastAsia="zh-CN"/>
        </w:rPr>
      </w:pPr>
      <w:r>
        <w:rPr>
          <w:rFonts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0" w:afterLines="50" w:line="530" w:lineRule="exact"/>
        <w:jc w:val="center"/>
        <w:textAlignment w:val="auto"/>
        <w:rPr>
          <w:rFonts w:hint="default" w:cs="仿宋_GB2312"/>
          <w:szCs w:val="32"/>
        </w:rPr>
      </w:pP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校复赛选手推荐人选汇总表</w:t>
      </w:r>
      <w:r>
        <w:rPr>
          <w:rFonts w:hint="default" w:cs="仿宋_GB231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320" w:firstLineChars="100"/>
        <w:textAlignment w:val="auto"/>
        <w:rPr>
          <w:rFonts w:hint="eastAsia" w:cs="仿宋_GB2312"/>
          <w:szCs w:val="32"/>
        </w:rPr>
      </w:pPr>
      <w:r>
        <w:rPr>
          <w:rFonts w:hint="eastAsia" w:cs="仿宋_GB2312"/>
          <w:szCs w:val="32"/>
          <w:lang w:val="en-US" w:eastAsia="zh-CN"/>
        </w:rPr>
        <w:t xml:space="preserve">二级学院（盖章）：                         填报人及联系方式：         </w:t>
      </w:r>
    </w:p>
    <w:tbl>
      <w:tblPr>
        <w:tblStyle w:val="11"/>
        <w:tblW w:w="1309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8"/>
        <w:gridCol w:w="2178"/>
        <w:gridCol w:w="2451"/>
        <w:gridCol w:w="3167"/>
        <w:gridCol w:w="36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80" w:hRule="atLeast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3" w:firstLineChars="200"/>
              <w:jc w:val="center"/>
              <w:textAlignment w:val="auto"/>
              <w:rPr>
                <w:rFonts w:hint="eastAsia" w:cs="仿宋_GB2312"/>
                <w:b/>
                <w:bCs/>
                <w:szCs w:val="32"/>
              </w:rPr>
            </w:pPr>
            <w:r>
              <w:rPr>
                <w:rFonts w:hint="eastAsia" w:cs="仿宋_GB2312"/>
                <w:b/>
                <w:bCs/>
                <w:szCs w:val="32"/>
                <w:lang w:val="en-US" w:eastAsia="zh-CN"/>
              </w:rPr>
              <w:t>序号</w:t>
            </w:r>
          </w:p>
        </w:tc>
        <w:tc>
          <w:tcPr>
            <w:tcW w:w="21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3" w:firstLineChars="200"/>
              <w:jc w:val="center"/>
              <w:textAlignment w:val="auto"/>
              <w:rPr>
                <w:rFonts w:hint="eastAsia" w:cs="仿宋_GB2312"/>
                <w:b/>
                <w:bCs/>
                <w:szCs w:val="32"/>
              </w:rPr>
            </w:pPr>
            <w:r>
              <w:rPr>
                <w:rFonts w:hint="eastAsia" w:cs="仿宋_GB2312"/>
                <w:b/>
                <w:bCs/>
                <w:szCs w:val="32"/>
                <w:lang w:val="en-US" w:eastAsia="zh-CN"/>
              </w:rPr>
              <w:t>姓名</w:t>
            </w:r>
          </w:p>
        </w:tc>
        <w:tc>
          <w:tcPr>
            <w:tcW w:w="2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3" w:firstLineChars="200"/>
              <w:jc w:val="center"/>
              <w:textAlignment w:val="auto"/>
              <w:rPr>
                <w:rFonts w:hint="eastAsia" w:cs="仿宋_GB2312"/>
                <w:b/>
                <w:bCs/>
                <w:szCs w:val="32"/>
              </w:rPr>
            </w:pPr>
            <w:r>
              <w:rPr>
                <w:rFonts w:hint="eastAsia" w:cs="仿宋_GB2312"/>
                <w:b/>
                <w:bCs/>
                <w:szCs w:val="32"/>
                <w:lang w:val="en-US" w:eastAsia="zh-CN"/>
              </w:rPr>
              <w:t>班级</w:t>
            </w:r>
          </w:p>
        </w:tc>
        <w:tc>
          <w:tcPr>
            <w:tcW w:w="3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3" w:firstLineChars="200"/>
              <w:jc w:val="center"/>
              <w:textAlignment w:val="auto"/>
              <w:rPr>
                <w:rFonts w:hint="eastAsia" w:cs="仿宋_GB2312"/>
                <w:b/>
                <w:bCs/>
                <w:szCs w:val="32"/>
              </w:rPr>
            </w:pPr>
            <w:r>
              <w:rPr>
                <w:rFonts w:hint="eastAsia" w:cs="仿宋_GB2312"/>
                <w:b/>
                <w:bCs/>
                <w:szCs w:val="32"/>
                <w:lang w:val="en-US" w:eastAsia="zh-CN"/>
              </w:rPr>
              <w:t>专业</w:t>
            </w:r>
          </w:p>
        </w:tc>
        <w:tc>
          <w:tcPr>
            <w:tcW w:w="3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3" w:firstLineChars="200"/>
              <w:jc w:val="center"/>
              <w:textAlignment w:val="auto"/>
              <w:rPr>
                <w:rFonts w:hint="eastAsia" w:cs="仿宋_GB2312"/>
                <w:b/>
                <w:bCs/>
                <w:szCs w:val="32"/>
              </w:rPr>
            </w:pPr>
            <w:r>
              <w:rPr>
                <w:rFonts w:hint="eastAsia" w:cs="仿宋_GB2312"/>
                <w:b/>
                <w:bCs/>
                <w:szCs w:val="32"/>
                <w:lang w:val="en-US" w:eastAsia="zh-CN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  <w:r>
              <w:rPr>
                <w:rFonts w:hint="default" w:cs="仿宋_GB2312"/>
                <w:szCs w:val="32"/>
                <w:lang w:val="en-US" w:eastAsia="zh-CN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  <w:r>
              <w:rPr>
                <w:rFonts w:hint="default" w:cs="仿宋_GB2312"/>
                <w:szCs w:val="32"/>
                <w:lang w:val="en-US" w:eastAsia="zh-CN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  <w:r>
              <w:rPr>
                <w:rFonts w:hint="default" w:cs="仿宋_GB2312"/>
                <w:szCs w:val="32"/>
                <w:lang w:val="en-US" w:eastAsia="zh-CN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  <w:r>
              <w:rPr>
                <w:rFonts w:hint="default" w:cs="仿宋_GB2312"/>
                <w:szCs w:val="32"/>
                <w:lang w:val="en-US" w:eastAsia="zh-CN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  <w:r>
              <w:rPr>
                <w:rFonts w:hint="default" w:cs="仿宋_GB2312"/>
                <w:szCs w:val="32"/>
                <w:lang w:val="en-US" w:eastAsia="zh-CN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default" w:cs="仿宋_GB2312"/>
                <w:szCs w:val="32"/>
                <w:lang w:val="en-US" w:eastAsia="zh-CN"/>
              </w:rPr>
            </w:pPr>
            <w:r>
              <w:rPr>
                <w:rFonts w:hint="eastAsia" w:cs="仿宋_GB2312"/>
                <w:szCs w:val="32"/>
                <w:lang w:val="en-US" w:eastAsia="zh-CN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eastAsia="仿宋_GB2312" w:cs="仿宋_GB2312"/>
                <w:szCs w:val="32"/>
                <w:lang w:val="en-US" w:eastAsia="zh-CN"/>
              </w:rPr>
            </w:pPr>
            <w:r>
              <w:rPr>
                <w:rFonts w:hint="eastAsia" w:cs="仿宋_GB2312"/>
                <w:szCs w:val="32"/>
                <w:lang w:val="en-US" w:eastAsia="zh-CN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eastAsia="仿宋_GB2312" w:cs="仿宋_GB2312"/>
                <w:szCs w:val="32"/>
                <w:lang w:val="en-US" w:eastAsia="zh-CN"/>
              </w:rPr>
            </w:pPr>
            <w:r>
              <w:rPr>
                <w:rFonts w:hint="eastAsia" w:cs="仿宋_GB2312"/>
                <w:szCs w:val="32"/>
                <w:lang w:val="en-US" w:eastAsia="zh-CN"/>
              </w:rPr>
              <w:t>8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30" w:lineRule="exact"/>
              <w:ind w:left="0" w:right="0" w:firstLine="640" w:firstLineChars="200"/>
              <w:textAlignment w:val="auto"/>
              <w:rPr>
                <w:rFonts w:hint="eastAsia" w:cs="仿宋_GB231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0"/>
        <w:textAlignment w:val="auto"/>
        <w:rPr>
          <w:rFonts w:eastAsia="黑体"/>
          <w:szCs w:val="32"/>
        </w:rPr>
      </w:pPr>
      <w:r>
        <w:rPr>
          <w:rFonts w:hint="eastAsia" w:cs="仿宋_GB2312"/>
          <w:szCs w:val="32"/>
          <w:lang w:val="en-US" w:eastAsia="zh-CN"/>
        </w:rPr>
        <w:t>注：填报人为二级学院本次赛事的联系人。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  <w:sectPr>
          <w:pgSz w:w="16838" w:h="11906" w:orient="landscape"/>
          <w:pgMar w:top="1293" w:right="1757" w:bottom="1293" w:left="1644" w:header="851" w:footer="1474" w:gutter="0"/>
          <w:pgNumType w:fmt="decimal" w:start="8"/>
          <w:cols w:space="0" w:num="1"/>
          <w:rtlGutter w:val="0"/>
          <w:docGrid w:type="lines" w:linePitch="436" w:charSpace="0"/>
        </w:sect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hint="eastAsia" w:eastAsia="黑体"/>
          <w:szCs w:val="32"/>
          <w:lang w:val="en-US" w:eastAsia="zh-CN"/>
        </w:rPr>
      </w:pPr>
      <w:r>
        <w:rPr>
          <w:rFonts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hint="eastAsia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eastAsia="方正小标宋简体" w:cs="方正小标宋简体"/>
          <w:bCs/>
          <w:sz w:val="44"/>
          <w:szCs w:val="44"/>
          <w:lang w:val="en-US" w:eastAsia="zh-CN"/>
        </w:rPr>
        <w:t>优秀组织奖评选标准</w:t>
      </w:r>
      <w:r>
        <w:rPr>
          <w:rFonts w:hint="eastAsia" w:eastAsia="方正小标宋简体" w:cs="方正小标宋简体"/>
          <w:bCs/>
          <w:sz w:val="44"/>
          <w:szCs w:val="44"/>
          <w:lang w:val="en-US" w:eastAsia="zh-CN"/>
        </w:rPr>
        <w:tab/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  <w:szCs w:val="32"/>
          <w:lang w:val="en-US" w:eastAsia="zh-CN"/>
        </w:rPr>
      </w:pPr>
      <w:r>
        <w:rPr>
          <w:rFonts w:hint="eastAsia" w:cs="仿宋_GB2312"/>
          <w:szCs w:val="32"/>
          <w:lang w:val="en-US" w:eastAsia="zh-CN"/>
        </w:rPr>
        <w:t>一、优秀组织奖按以下条件量化得分评出，如有同分情况由承办单位根据比赛组织情况最终确定优秀组织奖。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  <w:szCs w:val="32"/>
          <w:lang w:val="en-US" w:eastAsia="zh-CN"/>
        </w:rPr>
      </w:pPr>
      <w:r>
        <w:rPr>
          <w:rFonts w:hint="eastAsia" w:cs="仿宋_GB2312"/>
          <w:szCs w:val="32"/>
          <w:lang w:val="en-US" w:eastAsia="zh-CN"/>
        </w:rPr>
        <w:t>二、学生参与度。各二级院报名参赛人数占学院人数需达到6</w:t>
      </w:r>
      <w:r>
        <w:rPr>
          <w:rFonts w:hint="default" w:cs="仿宋_GB2312"/>
          <w:szCs w:val="32"/>
          <w:lang w:val="en-US" w:eastAsia="zh-CN"/>
        </w:rPr>
        <w:t>0%</w:t>
      </w:r>
      <w:r>
        <w:rPr>
          <w:rFonts w:hint="eastAsia" w:cs="仿宋_GB2312"/>
          <w:szCs w:val="32"/>
          <w:lang w:val="en-US" w:eastAsia="zh-CN"/>
        </w:rPr>
        <w:t>以上（以正方系统数据为准），每增加</w:t>
      </w:r>
      <w:r>
        <w:rPr>
          <w:rFonts w:hint="default" w:cs="仿宋_GB2312"/>
          <w:szCs w:val="32"/>
          <w:lang w:val="en-US" w:eastAsia="zh-CN"/>
        </w:rPr>
        <w:t>1</w:t>
      </w:r>
      <w:r>
        <w:rPr>
          <w:rFonts w:hint="eastAsia" w:cs="仿宋_GB2312"/>
          <w:szCs w:val="32"/>
          <w:lang w:val="en-US" w:eastAsia="zh-CN"/>
        </w:rPr>
        <w:t>个百分点加</w:t>
      </w:r>
      <w:r>
        <w:rPr>
          <w:rFonts w:hint="default" w:cs="仿宋_GB2312"/>
          <w:szCs w:val="32"/>
          <w:lang w:val="en-US" w:eastAsia="zh-CN"/>
        </w:rPr>
        <w:t>2</w:t>
      </w:r>
      <w:r>
        <w:rPr>
          <w:rFonts w:hint="eastAsia" w:cs="仿宋_GB2312"/>
          <w:szCs w:val="32"/>
          <w:lang w:val="en-US" w:eastAsia="zh-CN"/>
        </w:rPr>
        <w:t>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  <w:szCs w:val="32"/>
          <w:lang w:val="en-US" w:eastAsia="zh-CN"/>
        </w:rPr>
      </w:pPr>
      <w:r>
        <w:rPr>
          <w:rFonts w:hint="eastAsia" w:cs="仿宋_GB2312"/>
          <w:szCs w:val="32"/>
          <w:lang w:val="en-US" w:eastAsia="zh-CN"/>
        </w:rPr>
        <w:t>三、协办学院加30分。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  <w:szCs w:val="32"/>
          <w:lang w:val="en-US" w:eastAsia="zh-CN"/>
        </w:rPr>
      </w:pPr>
      <w:r>
        <w:rPr>
          <w:rFonts w:hint="eastAsia" w:cs="仿宋_GB2312"/>
          <w:szCs w:val="32"/>
          <w:lang w:val="en-US" w:eastAsia="zh-CN"/>
        </w:rPr>
        <w:t>四、学生获得校级奖，金奖加10分/人、银奖加5分/人、铜奖加2分/人。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  <w:szCs w:val="32"/>
          <w:lang w:val="en-US" w:eastAsia="zh-CN"/>
        </w:rPr>
      </w:pPr>
      <w:r>
        <w:rPr>
          <w:rFonts w:hint="eastAsia" w:cs="仿宋_GB231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  <w:szCs w:val="32"/>
          <w:lang w:val="en-US" w:eastAsia="zh-CN"/>
        </w:rPr>
      </w:pPr>
      <w:r>
        <w:rPr>
          <w:rFonts w:hint="default" w:cs="仿宋_GB2312"/>
          <w:szCs w:val="32"/>
          <w:lang w:val="en-US" w:eastAsia="zh-CN"/>
        </w:rPr>
        <w:t>*</w:t>
      </w:r>
      <w:r>
        <w:rPr>
          <w:rFonts w:hint="eastAsia" w:cs="仿宋_GB2312"/>
          <w:szCs w:val="32"/>
          <w:lang w:val="en-US" w:eastAsia="zh-CN"/>
        </w:rPr>
        <w:t>注：各学院参赛人数以提交至指定平台并经招生与就业处审核通过为准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left"/>
        <w:textAlignment w:val="auto"/>
        <w:outlineLvl w:val="0"/>
        <w:rPr>
          <w:szCs w:val="32"/>
        </w:rPr>
      </w:pPr>
    </w:p>
    <w:sectPr>
      <w:pgSz w:w="11906" w:h="16838"/>
      <w:pgMar w:top="1757" w:right="1803" w:bottom="1644" w:left="1803" w:header="851" w:footer="1474" w:gutter="0"/>
      <w:pgNumType w:fmt="decimal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E0401F-350D-48ED-8023-8B2BDBA466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318E6BA8-4F1B-46BB-B569-418718F99D2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E9310C5-8565-4A3A-92FF-293831DB84A9}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4" w:fontKey="{2BBF168A-B329-4748-86DE-DC6178FDEF9F}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5" w:fontKey="{EBA3230C-0AB6-4E8F-933F-69637911F5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0"/>
  <w:drawingGridHorizontalSpacing w:val="160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4350E6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38076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2FB4A33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5BE1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00FBB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2B6645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2F12E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79618D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9B0D3D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139DA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3A490E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46BBD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next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9</Pages>
  <Words>1824</Words>
  <Characters>1917</Characters>
  <Lines>5</Lines>
  <Paragraphs>16</Paragraphs>
  <TotalTime>9</TotalTime>
  <ScaleCrop>false</ScaleCrop>
  <LinksUpToDate>false</LinksUpToDate>
  <CharactersWithSpaces>1917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2022-04-10T00:51:00Z</dcterms:created>
  <dc:creator>Dell</dc:creator>
  <cp:lastModifiedBy>HZT</cp:lastModifiedBy>
  <cp:lastPrinted>2025-10-13T17:04:00Z</cp:lastPrinted>
  <dcterms:modified xsi:type="dcterms:W3CDTF">2025-11-04T08:01:15Z</dcterms:modified>
  <cp:revision>1224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A2F60E7D29274ED9B9ED86B9E0C4F7D9_13</vt:lpwstr>
  </property>
  <property fmtid="{D5CDD505-2E9C-101B-9397-08002B2CF9AE}" pid="4" name="KSOTemplateDocerSaveRecord">
    <vt:lpwstr>eyJoZGlkIjoiMTkyYjA2OWY1YjBkYjEzZWIxMmI3NzI2ODVhZWFlMjciLCJ1c2VySWQiOiIzMjcxODExMzAifQ==</vt:lpwstr>
  </property>
</Properties>
</file>