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media/background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?>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o="urn:schemas-microsoft-com:office:office" xmlns:v="urn:schemas-microsoft-com:vm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m="http://schemas.openxmlformats.org/officeDocument/2006/math" xmlns:wp14="http://schemas.microsoft.com/office/word/2010/wordprocessingDrawing" xmlns:a="http://schemas.openxmlformats.org/drawingml/2006/main" xmlns:wp="http://schemas.openxmlformats.org/drawingml/2006/wordprocessingDrawing" xmlns:w14="http://schemas.microsoft.com/office/word/2010/wordml" xmlns:r="http://schemas.openxmlformats.org/officeDocument/2006/relationships" xmlns:w="http://schemas.openxmlformats.org/wordprocessingml/2006/main" mc:Ignorable="w14 w15 wp14">
  <!--Powered by docx4j 6.0.1 (Apache licensed)-->
  <w:body>
    <w:p w14:paraId="3ADF77CE">
      <w:pPr>
        <w:spacing w:before="101"/>
        <w:ind w:left="25"/>
        <w:rPr>
          <w:rFonts w:cs="黑体" w:eastAsia="黑体" w:hAnsi="宋体" w:ascii="黑体"/>
          <w:spacing w:val="-4"/>
          <w:sz w:val="31"/>
          <w:szCs w:val="31"/>
        </w:rPr>
      </w:pPr>
      <w:r>
        <w:rPr>
          <w:rFonts w:cs="黑体" w:eastAsia="黑体" w:hAnsi="宋体" w:ascii="黑体" w:hint="eastAsia"/>
          <w:spacing w:val="-4"/>
          <w:sz w:val="31"/>
          <w:szCs w:val="31"/>
          <w:lang w:bidi="ar"/>
        </w:rPr>
        <w:t>附件4</w:t>
      </w:r>
    </w:p>
    <w:p w14:paraId="2A03FC85">
      <w:pPr>
        <w:jc w:val="center"/>
        <w:rPr>
          <w:rFonts w:cs="黑体" w:eastAsia="黑体" w:hAnsi="宋体" w:ascii="黑体"/>
          <w:b/>
          <w:bCs/>
          <w:spacing w:val="7"/>
          <w:sz w:val="31"/>
          <w:szCs w:val="31"/>
        </w:rPr>
      </w:pPr>
      <w:r>
        <w:rPr>
          <w:rFonts w:cs="方正公文小标宋" w:eastAsia="方正公文小标宋" w:hAnsi="方正公文小标宋" w:ascii="方正公文小标宋" w:hint="eastAsia"/>
          <w:b/>
          <w:bCs/>
          <w:sz w:val="44"/>
          <w:szCs w:val="44"/>
          <w:lang w:bidi="ar"/>
        </w:rPr>
        <w:t>职业规划大赛就业赛道方案</w:t>
      </w:r>
    </w:p>
    <w:p w14:paraId="75FB3642">
      <w:pPr>
        <w:autoSpaceDE w:val="false"/>
        <w:adjustRightInd w:val="false"/>
        <w:snapToGrid w:val="false"/>
        <w:spacing w:lineRule="exact" w:line="560" w:before="192"/>
        <w:ind w:left="653"/>
        <w:rPr>
          <w:rFonts w:cs="黑体" w:eastAsia="黑体" w:hAnsi="宋体" w:ascii="黑体"/>
          <w:sz w:val="31"/>
          <w:szCs w:val="31"/>
        </w:rPr>
      </w:pPr>
      <w:r>
        <w:rPr>
          <w:rFonts w:cs="黑体" w:eastAsia="黑体" w:hAnsi="宋体" w:ascii="黑体" w:hint="eastAsia"/>
          <w:spacing w:val="7"/>
          <w:sz w:val="31"/>
          <w:szCs w:val="31"/>
          <w:lang w:bidi="ar"/>
        </w:rPr>
        <w:t>一、比赛内容</w:t>
      </w:r>
    </w:p>
    <w:p w14:paraId="415D67CE">
      <w:pPr>
        <w:pStyle w:val="2"/>
        <w:autoSpaceDE w:val="false"/>
        <w:adjustRightInd w:val="false"/>
        <w:snapToGrid w:val="false"/>
        <w:spacing w:lineRule="exact" w:line="560" w:before="176"/>
        <w:ind w:firstLine="638" w:right="2" w:left="6"/>
        <w:rPr>
          <w:rFonts w:cs="仿宋" w:hint="default"/>
        </w:rPr>
      </w:pPr>
      <w:r>
        <w:rPr>
          <w:rFonts w:cs="仿宋"/>
          <w:spacing w:val="18"/>
        </w:rPr>
        <w:t>考察学生求职实战能力，个人综合素质、专业能力与目标职业的契合度，个人发展路径与就业市场需求的适应度。参赛学生可获得岗位录用意向。</w:t>
      </w:r>
    </w:p>
    <w:p w14:paraId="37641DFB">
      <w:pPr>
        <w:autoSpaceDE w:val="false"/>
        <w:adjustRightInd w:val="false"/>
        <w:snapToGrid w:val="false"/>
        <w:spacing w:lineRule="exact" w:line="560" w:before="48"/>
        <w:ind w:left="653"/>
        <w:rPr>
          <w:rFonts w:cs="黑体" w:eastAsia="黑体" w:hAnsi="宋体" w:ascii="黑体"/>
          <w:sz w:val="31"/>
          <w:szCs w:val="31"/>
        </w:rPr>
      </w:pPr>
      <w:r>
        <w:rPr>
          <w:rFonts w:cs="黑体" w:eastAsia="黑体" w:hAnsi="宋体" w:ascii="黑体" w:hint="eastAsia"/>
          <w:spacing w:val="8"/>
          <w:sz w:val="31"/>
          <w:szCs w:val="31"/>
          <w:lang w:bidi="ar"/>
        </w:rPr>
        <w:t>二、参赛组别和对象</w:t>
      </w:r>
    </w:p>
    <w:p w14:paraId="16DEFF5A">
      <w:pPr>
        <w:pStyle w:val="2"/>
        <w:autoSpaceDE w:val="false"/>
        <w:adjustRightInd w:val="false"/>
        <w:snapToGrid w:val="false"/>
        <w:spacing w:lineRule="exact" w:line="560" w:before="176"/>
        <w:ind w:firstLine="638" w:right="2" w:left="6"/>
        <w:rPr>
          <w:rFonts w:cs="仿宋" w:hint="default"/>
          <w:spacing w:val="17"/>
        </w:rPr>
      </w:pPr>
      <w:r>
        <w:rPr>
          <w:rFonts w:cs="仿宋"/>
          <w:spacing w:val="17"/>
        </w:rPr>
        <w:t>就业赛道设本科生组、研究生组，参赛对象为全日制本科三、四年级（医学专业包括五年级）学生（不含已通过推免等确定升学的毕业年级学生）；研究生组面向全体研究生。</w:t>
      </w:r>
    </w:p>
    <w:p w14:paraId="03F6D905">
      <w:pPr>
        <w:autoSpaceDE w:val="false"/>
        <w:adjustRightInd w:val="false"/>
        <w:snapToGrid w:val="false"/>
        <w:spacing w:lineRule="exact" w:line="560" w:before="34"/>
        <w:ind w:left="655"/>
        <w:rPr>
          <w:rFonts w:cs="黑体" w:eastAsia="黑体" w:hAnsi="宋体" w:ascii="黑体"/>
          <w:sz w:val="31"/>
          <w:szCs w:val="31"/>
        </w:rPr>
      </w:pPr>
      <w:r>
        <w:rPr>
          <w:rFonts w:cs="黑体" w:eastAsia="黑体" w:hAnsi="宋体" w:ascii="黑体" w:hint="eastAsia"/>
          <w:spacing w:val="7"/>
          <w:sz w:val="31"/>
          <w:szCs w:val="31"/>
          <w:lang w:bidi="ar"/>
        </w:rPr>
        <w:t>三、参赛材料要求</w:t>
      </w:r>
    </w:p>
    <w:p w14:paraId="2FF04692">
      <w:pPr>
        <w:pStyle w:val="2"/>
        <w:autoSpaceDE w:val="false"/>
        <w:adjustRightInd w:val="false"/>
        <w:snapToGrid w:val="false"/>
        <w:spacing w:lineRule="exact" w:line="560" w:before="178"/>
        <w:ind w:left="652"/>
        <w:rPr>
          <w:rFonts w:cs="仿宋" w:hint="default"/>
        </w:rPr>
      </w:pPr>
      <w:r>
        <w:rPr>
          <w:rFonts w:cs="仿宋"/>
          <w:spacing w:val="8"/>
        </w:rPr>
        <w:t>选手在大赛平台</w:t>
      </w:r>
      <w:r>
        <w:rPr>
          <w:rFonts w:cs="仿宋_GB2312"/>
        </w:rPr>
        <w:t>（</w:t>
      </w:r>
      <w:r>
        <w:rPr>
          <w:spacing w:val="-6"/>
        </w:rPr>
        <w:t>网址：</w:t>
      </w:r>
      <w:r>
        <w:t>zgs.chsi.com.cn）</w:t>
      </w:r>
      <w:r>
        <w:rPr>
          <w:rFonts w:cs="仿宋"/>
          <w:spacing w:val="8"/>
        </w:rPr>
        <w:t>提交以下参赛材料：</w:t>
      </w:r>
    </w:p>
    <w:p w14:paraId="2FD019E5">
      <w:pPr>
        <w:pStyle w:val="2"/>
        <w:autoSpaceDE w:val="false"/>
        <w:adjustRightInd w:val="false"/>
        <w:snapToGrid w:val="false"/>
        <w:spacing w:lineRule="exact" w:line="560" w:before="190"/>
        <w:ind w:left="640"/>
        <w:rPr>
          <w:rFonts w:cs="仿宋" w:hint="default"/>
        </w:rPr>
      </w:pPr>
      <w:r>
        <w:rPr>
          <w:rFonts w:cs="仿宋"/>
          <w:spacing w:val="-5"/>
        </w:rPr>
        <w:t>（一）求职简历（</w:t>
      </w:r>
      <w:r>
        <w:rPr>
          <w:rFonts w:hAnsi="Times New Roman" w:ascii="Times New Roman" w:hint="default"/>
          <w:spacing w:val="-5"/>
        </w:rPr>
        <w:t>PDF</w:t>
      </w:r>
      <w:r>
        <w:rPr>
          <w:rFonts w:cs="仿宋"/>
          <w:spacing w:val="-5"/>
        </w:rPr>
        <w:t>格式）。</w:t>
      </w:r>
    </w:p>
    <w:p w14:paraId="5D7E2B46">
      <w:pPr>
        <w:pStyle w:val="2"/>
        <w:autoSpaceDE w:val="false"/>
        <w:adjustRightInd w:val="false"/>
        <w:snapToGrid w:val="false"/>
        <w:spacing w:lineRule="exact" w:line="560" w:before="192"/>
        <w:ind w:firstLine="627" w:right="2" w:left="13"/>
        <w:rPr>
          <w:rFonts w:cs="仿宋" w:hint="default"/>
          <w:spacing w:val="17"/>
        </w:rPr>
      </w:pPr>
      <w:r>
        <w:rPr>
          <w:rFonts w:cs="仿宋"/>
          <w:spacing w:val="14"/>
        </w:rPr>
        <w:t>（二）求职综合展示（</w:t>
      </w:r>
      <w:r>
        <w:rPr>
          <w:rFonts w:hAnsi="Times New Roman" w:ascii="Times New Roman" w:hint="default"/>
        </w:rPr>
        <w:t>PPT</w:t>
      </w:r>
      <w:r>
        <w:rPr>
          <w:rFonts w:cs="仿宋"/>
          <w:spacing w:val="14"/>
        </w:rPr>
        <w:t>格式，</w:t>
      </w:r>
      <w:r>
        <w:rPr>
          <w:rFonts w:cs="仿宋"/>
          <w:spacing w:val="17"/>
        </w:rPr>
        <w:t>不超过50MB；可加入视频）。</w:t>
      </w:r>
    </w:p>
    <w:p w14:paraId="4C4F0867">
      <w:pPr>
        <w:pStyle w:val="2"/>
        <w:autoSpaceDE w:val="false"/>
        <w:adjustRightInd w:val="false"/>
        <w:snapToGrid w:val="false"/>
        <w:spacing w:lineRule="exact" w:line="560" w:before="192"/>
        <w:ind w:firstLine="627" w:right="2" w:left="13"/>
        <w:rPr>
          <w:rFonts w:cs="仿宋" w:hint="default"/>
          <w:spacing w:val="14"/>
        </w:rPr>
      </w:pPr>
      <w:r>
        <w:rPr>
          <w:rFonts w:cs="仿宋"/>
          <w:spacing w:val="14"/>
        </w:rPr>
        <w:t>（三）辅助证明材料，包括实践、实习、获奖等证明材料（PDF格式，整合为单个文件，不超过50MB）。</w:t>
      </w:r>
    </w:p>
    <w:p w14:paraId="0F022772">
      <w:pPr>
        <w:autoSpaceDE w:val="false"/>
        <w:adjustRightInd w:val="false"/>
        <w:snapToGrid w:val="false"/>
        <w:spacing w:lineRule="exact" w:line="560" w:before="101"/>
        <w:ind w:left="824"/>
        <w:rPr>
          <w:rFonts w:cs="黑体" w:eastAsia="黑体" w:hAnsi="宋体" w:ascii="黑体"/>
          <w:sz w:val="31"/>
          <w:szCs w:val="31"/>
        </w:rPr>
      </w:pPr>
      <w:r>
        <w:rPr>
          <w:rFonts w:cs="黑体" w:eastAsia="黑体" w:hAnsi="宋体" w:ascii="黑体" w:hint="eastAsia"/>
          <w:spacing w:val="4"/>
          <w:sz w:val="31"/>
          <w:szCs w:val="31"/>
          <w:lang w:bidi="ar"/>
        </w:rPr>
        <w:t>四、比赛环节</w:t>
      </w:r>
    </w:p>
    <w:p w14:paraId="60AFF397">
      <w:pPr>
        <w:pStyle w:val="2"/>
        <w:autoSpaceDE w:val="false"/>
        <w:adjustRightInd w:val="false"/>
        <w:snapToGrid w:val="false"/>
        <w:spacing w:lineRule="exact" w:line="560" w:before="192"/>
        <w:ind w:firstLine="627" w:right="2" w:left="13"/>
        <w:rPr>
          <w:rFonts w:cs="仿宋" w:hint="default"/>
          <w:spacing w:val="14"/>
        </w:rPr>
      </w:pPr>
      <w:r>
        <w:rPr>
          <w:rFonts w:cs="仿宋"/>
          <w:spacing w:val="14"/>
        </w:rPr>
        <w:t>就业赛道设主题陈述、综合面试</w:t>
      </w:r>
      <w:bookmarkStart w:name="_GoBack" w:id="0"/>
      <w:bookmarkEnd w:id="0"/>
      <w:r>
        <w:rPr>
          <w:rFonts w:cs="仿宋"/>
          <w:spacing w:val="14"/>
        </w:rPr>
        <w:t>环节。各环节时长根据实际情况适当调整。</w:t>
      </w:r>
    </w:p>
    <w:p w14:paraId="5920C404">
      <w:pPr>
        <w:pStyle w:val="2"/>
        <w:autoSpaceDE w:val="false"/>
        <w:adjustRightInd w:val="false"/>
        <w:snapToGrid w:val="false"/>
        <w:spacing w:lineRule="exact" w:line="560" w:before="192"/>
        <w:ind w:firstLine="627" w:right="2" w:left="13"/>
        <w:rPr>
          <w:rFonts w:cs="仿宋" w:hint="default"/>
          <w:spacing w:val="14"/>
        </w:rPr>
      </w:pPr>
      <w:r>
        <w:rPr>
          <w:rFonts w:cs="仿宋"/>
          <w:spacing w:val="14"/>
        </w:rPr>
        <w:t>（一）主题陈述（6分钟）：选手结合求职综合展示PPT，陈述个人求职意向和职业准备情况。</w:t>
      </w:r>
    </w:p>
    <w:p w14:paraId="590CB753">
      <w:pPr>
        <w:pStyle w:val="2"/>
        <w:autoSpaceDE w:val="false"/>
        <w:adjustRightInd w:val="false"/>
        <w:snapToGrid w:val="false"/>
        <w:spacing w:lineRule="exact" w:line="560" w:before="192"/>
        <w:ind w:firstLine="627" w:right="2" w:left="13"/>
        <w:rPr>
          <w:rFonts w:cs="仿宋" w:hint="default"/>
          <w:spacing w:val="14"/>
        </w:rPr>
      </w:pPr>
      <w:r>
        <w:rPr>
          <w:rFonts w:cs="仿宋"/>
          <w:spacing w:val="14"/>
        </w:rPr>
        <w:t>（二）综合面试（6分钟）：评委提出真实工作场景中可能遇到的问题，选手提出解决方案；评委结合选手陈述自由提问。</w:t>
      </w:r>
    </w:p>
    <w:p w14:paraId="57E1DE3E">
      <w:pPr>
        <w:autoSpaceDE w:val="false"/>
        <w:adjustRightInd w:val="false"/>
        <w:snapToGrid w:val="false"/>
        <w:spacing w:lineRule="exact" w:line="560" w:before="190"/>
        <w:ind w:left="814"/>
        <w:outlineLvl w:val="0"/>
        <w:rPr>
          <w:rFonts w:cs="Times New Roman" w:eastAsia="仿宋_GB2312" w:hAnsi="Times New Roman" w:ascii="Arial"/>
          <w:sz w:val="2"/>
          <w:szCs w:val="2"/>
        </w:rPr>
      </w:pPr>
      <w:r>
        <w:rPr>
          <w:rFonts w:cs="黑体" w:eastAsia="黑体" w:hAnsi="宋体" w:ascii="黑体" w:hint="eastAsia"/>
          <w:spacing w:val="6"/>
          <w:sz w:val="31"/>
          <w:szCs w:val="31"/>
          <w:lang w:bidi="ar"/>
        </w:rPr>
        <w:t>五、评审标准</w:t>
      </w:r>
    </w:p>
    <w:tbl>
      <w:tblPr>
        <w:tblStyle w:val="4"/>
        <w:tblW w:type="pct" w:w="5044"/>
        <w:tblInd w:type="dxa" w:w="0"/>
        <w:tblBorders>
          <w:top w:space="0" w:sz="4" w:color="auto" w:val="single"/>
          <w:left w:space="0" w:sz="4" w:color="auto" w:val="single"/>
          <w:bottom w:space="0" w:sz="4" w:color="auto" w:val="single"/>
          <w:right w:space="0" w:sz="4" w:color="auto" w:val="single"/>
          <w:insideH w:space="0" w:sz="4" w:color="auto" w:val="single"/>
          <w:insideV w:space="0" w:sz="4" w:color="auto" w:val="single"/>
        </w:tblBorders>
        <w:tblLayout w:type="autofit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1465"/>
        <w:gridCol w:w="6322"/>
        <w:gridCol w:w="810"/>
      </w:tblGrid>
      <w:tr w14:paraId="5E63D76A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17"/>
        </w:trPr>
        <w:tc>
          <w:tcPr>
            <w:tcW w:type="pct" w:w="852"/>
            <w:vAlign w:val="center"/>
          </w:tcPr>
          <w:p w14:paraId="0F17CA5E">
            <w:pPr>
              <w:jc w:val="center"/>
              <w:rPr>
                <w:rFonts w:cs="黑体" w:eastAsia="黑体" w:hAnsi="黑体" w:ascii="黑体"/>
                <w:sz w:val="28"/>
                <w:szCs w:val="28"/>
              </w:rPr>
            </w:pPr>
            <w:r>
              <w:rPr>
                <w:rFonts w:cs="黑体" w:eastAsia="黑体" w:hAnsi="黑体" w:ascii="黑体" w:hint="eastAsia"/>
                <w:sz w:val="28"/>
                <w:szCs w:val="28"/>
              </w:rPr>
              <w:t>指标</w:t>
            </w:r>
          </w:p>
        </w:tc>
        <w:tc>
          <w:tcPr>
            <w:tcW w:type="pct" w:w="3676"/>
            <w:vAlign w:val="center"/>
          </w:tcPr>
          <w:p w14:paraId="1EBB2376">
            <w:pPr>
              <w:jc w:val="center"/>
              <w:rPr>
                <w:rFonts w:cs="黑体" w:eastAsia="黑体" w:hAnsi="黑体" w:ascii="黑体"/>
                <w:sz w:val="28"/>
                <w:szCs w:val="28"/>
              </w:rPr>
            </w:pPr>
            <w:r>
              <w:rPr>
                <w:rFonts w:cs="黑体" w:eastAsia="黑体" w:hAnsi="黑体" w:ascii="黑体" w:hint="eastAsia"/>
                <w:sz w:val="28"/>
                <w:szCs w:val="28"/>
              </w:rPr>
              <w:t>说明</w:t>
            </w:r>
          </w:p>
        </w:tc>
        <w:tc>
          <w:tcPr>
            <w:tcW w:type="pct" w:w="471"/>
            <w:vAlign w:val="center"/>
          </w:tcPr>
          <w:p w14:paraId="0C4C18E6">
            <w:pPr>
              <w:jc w:val="center"/>
              <w:rPr>
                <w:rFonts w:cs="黑体" w:eastAsia="黑体" w:hAnsi="黑体" w:ascii="黑体"/>
                <w:sz w:val="28"/>
                <w:szCs w:val="28"/>
              </w:rPr>
            </w:pPr>
            <w:r>
              <w:rPr>
                <w:rFonts w:cs="黑体" w:eastAsia="黑体" w:hAnsi="黑体" w:ascii="黑体" w:hint="eastAsia"/>
                <w:sz w:val="28"/>
                <w:szCs w:val="28"/>
              </w:rPr>
              <w:t>分值</w:t>
            </w:r>
          </w:p>
        </w:tc>
      </w:tr>
      <w:tr w14:paraId="01D67A1D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816"/>
        </w:trPr>
        <w:tc>
          <w:tcPr>
            <w:tcW w:type="pct" w:w="852"/>
            <w:vMerge w:val="restart"/>
            <w:vAlign w:val="center"/>
          </w:tcPr>
          <w:p w14:paraId="374BEFA0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职业目标</w:t>
            </w:r>
          </w:p>
        </w:tc>
        <w:tc>
          <w:tcPr>
            <w:tcW w:type="pct" w:w="3676"/>
            <w:vAlign w:val="center"/>
          </w:tcPr>
          <w:p w14:paraId="77349919">
            <w:pPr>
              <w:numPr>
                <w:ilvl w:val="255"/>
                <w:numId w:val="0"/>
              </w:num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能够结合就业市场需求和个人所学专业、能力及兴趣等特点，合理设定职业目标。</w:t>
            </w:r>
          </w:p>
        </w:tc>
        <w:tc>
          <w:tcPr>
            <w:tcW w:type="pct" w:w="471"/>
            <w:vMerge w:val="restart"/>
            <w:vAlign w:val="center"/>
          </w:tcPr>
          <w:p w14:paraId="37E25B54">
            <w:pPr>
              <w:jc w:val="center"/>
              <w:rPr>
                <w:rFonts w:cs="仿宋" w:eastAsia="仿宋" w:hAnsi="仿宋" w:ascii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10</w:t>
            </w:r>
          </w:p>
        </w:tc>
      </w:tr>
      <w:tr w14:paraId="42077975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816"/>
        </w:trPr>
        <w:tc>
          <w:tcPr>
            <w:tcW w:type="pct" w:w="852"/>
            <w:vMerge w:val="continue"/>
            <w:vAlign w:val="center"/>
          </w:tcPr>
          <w:p w14:paraId="1C1760C9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</w:p>
        </w:tc>
        <w:tc>
          <w:tcPr>
            <w:tcW w:type="pct" w:w="3676"/>
            <w:vAlign w:val="center"/>
          </w:tcPr>
          <w:p w14:paraId="47E8C5FB">
            <w:pPr>
              <w:numPr>
                <w:ilvl w:val="255"/>
                <w:numId w:val="0"/>
              </w:num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深入调研并准确把握目标职业的任职要求、工作内容、基本流程和发展路径等。</w:t>
            </w:r>
          </w:p>
        </w:tc>
        <w:tc>
          <w:tcPr>
            <w:tcW w:type="pct" w:w="471"/>
            <w:vMerge w:val="continue"/>
            <w:vAlign w:val="center"/>
          </w:tcPr>
          <w:p w14:paraId="47FFF930">
            <w:pPr>
              <w:jc w:val="center"/>
              <w:rPr>
                <w:rFonts w:cs="仿宋" w:eastAsia="仿宋" w:hAnsi="仿宋" w:ascii="仿宋"/>
                <w:sz w:val="28"/>
                <w:szCs w:val="28"/>
              </w:rPr>
            </w:pPr>
          </w:p>
        </w:tc>
      </w:tr>
      <w:tr w14:paraId="7B6A123F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816"/>
        </w:trPr>
        <w:tc>
          <w:tcPr>
            <w:tcW w:type="pct" w:w="852"/>
            <w:vMerge w:val="restart"/>
            <w:vAlign w:val="center"/>
          </w:tcPr>
          <w:p w14:paraId="33CB613C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岗位</w:t>
            </w:r>
          </w:p>
          <w:p w14:paraId="1C5E0B92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胜任力</w:t>
            </w:r>
          </w:p>
        </w:tc>
        <w:tc>
          <w:tcPr>
            <w:tcW w:type="pct" w:w="3676"/>
            <w:vAlign w:val="center"/>
          </w:tcPr>
          <w:p w14:paraId="5EEEB289">
            <w:p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具备目标岗位所需综合素质，如思维认知、沟通协作能力和执行力等，具有敬业奉献的职业精神。</w:t>
            </w:r>
          </w:p>
        </w:tc>
        <w:tc>
          <w:tcPr>
            <w:tcW w:type="pct" w:w="471"/>
            <w:vAlign w:val="center"/>
          </w:tcPr>
          <w:p w14:paraId="06440B17">
            <w:pPr>
              <w:jc w:val="center"/>
              <w:rPr>
                <w:rFonts w:cs="仿宋" w:eastAsia="仿宋" w:hAnsi="仿宋" w:ascii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40</w:t>
            </w:r>
          </w:p>
        </w:tc>
      </w:tr>
      <w:tr w14:paraId="04AA43DE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816"/>
        </w:trPr>
        <w:tc>
          <w:tcPr>
            <w:tcW w:type="pct" w:w="852"/>
            <w:vMerge w:val="continue"/>
            <w:vAlign w:val="center"/>
          </w:tcPr>
          <w:p w14:paraId="2F4AF120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</w:p>
        </w:tc>
        <w:tc>
          <w:tcPr>
            <w:tcW w:type="pct" w:w="3676"/>
            <w:vAlign w:val="center"/>
          </w:tcPr>
          <w:p w14:paraId="69112460">
            <w:p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具备目标岗位所需专业知识和技能要求，有相关实习实践经历，具备解决实际问题的专业能力。</w:t>
            </w:r>
          </w:p>
        </w:tc>
        <w:tc>
          <w:tcPr>
            <w:tcW w:type="pct" w:w="471"/>
            <w:vAlign w:val="center"/>
          </w:tcPr>
          <w:p w14:paraId="51AD6937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40</w:t>
            </w:r>
          </w:p>
        </w:tc>
      </w:tr>
      <w:tr w14:paraId="101788D5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1255"/>
        </w:trPr>
        <w:tc>
          <w:tcPr>
            <w:tcW w:type="pct" w:w="852"/>
            <w:vAlign w:val="center"/>
          </w:tcPr>
          <w:p w14:paraId="12FA49CF">
            <w:pPr>
              <w:jc w:val="center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发展潜力</w:t>
            </w:r>
          </w:p>
        </w:tc>
        <w:tc>
          <w:tcPr>
            <w:tcW w:type="pct" w:w="3676"/>
            <w:vAlign w:val="center"/>
          </w:tcPr>
          <w:p w14:paraId="26EE397B">
            <w:pPr>
              <w:jc w:val="left"/>
              <w:rPr>
                <w:rFonts w:cs="仿宋_GB2312" w:hAnsi="仿宋_GB2312" w:ascii="仿宋_GB2312"/>
                <w:sz w:val="28"/>
                <w:szCs w:val="28"/>
              </w:rPr>
            </w:pPr>
            <w:r>
              <w:rPr>
                <w:rFonts w:cs="仿宋_GB2312" w:hAnsi="仿宋_GB2312" w:ascii="仿宋_GB2312" w:hint="eastAsia"/>
                <w:sz w:val="28"/>
                <w:szCs w:val="28"/>
              </w:rPr>
              <w:t>具备持续学习能力、创新精神和应对不确定性挑战的潜质，适应未来职业发展要求和就业市场需要。</w:t>
            </w:r>
          </w:p>
        </w:tc>
        <w:tc>
          <w:tcPr>
            <w:tcW w:type="pct" w:w="471"/>
            <w:vAlign w:val="center"/>
          </w:tcPr>
          <w:p w14:paraId="1C1FEEC4">
            <w:pPr>
              <w:jc w:val="center"/>
              <w:rPr>
                <w:rFonts w:cs="仿宋" w:eastAsia="仿宋" w:hAnsi="仿宋" w:ascii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</w:tr>
      <w:tr w14:paraId="058D755D">
        <w:tblPrEx>
          <w:tblBorders>
            <w:top w:space="0" w:sz="4" w:color="auto" w:val="single"/>
            <w:left w:space="0" w:sz="4" w:color="auto" w:val="single"/>
            <w:bottom w:space="0" w:sz="4" w:color="auto" w:val="single"/>
            <w:right w:space="0" w:sz="4" w:color="auto" w:val="single"/>
            <w:insideH w:space="0" w:sz="4" w:color="auto" w:val="single"/>
            <w:insideV w:space="0" w:sz="4" w:color="auto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6"/>
        </w:trPr>
        <w:tc>
          <w:tcPr>
            <w:tcW w:type="pct" w:w="852"/>
            <w:shd w:fill="auto" w:color="auto" w:val="clear"/>
            <w:vAlign w:val="center"/>
          </w:tcPr>
          <w:p w14:paraId="71E90C9F">
            <w:pPr>
              <w:jc w:val="center"/>
              <w:rPr>
                <w:sz w:val="26"/>
                <w:szCs w:val="26"/>
              </w:rPr>
            </w:pPr>
            <w:r>
              <w:rPr>
                <w:rFonts w:cs="黑体" w:eastAsia="黑体" w:hAnsi="黑体" w:ascii="黑体" w:hint="eastAsia"/>
                <w:sz w:val="26"/>
                <w:szCs w:val="26"/>
              </w:rPr>
              <w:t>总分</w:t>
            </w:r>
          </w:p>
        </w:tc>
        <w:tc>
          <w:tcPr>
            <w:tcW w:type="pct" w:w="3676"/>
            <w:shd w:fill="auto" w:color="auto" w:val="clear"/>
            <w:vAlign w:val="center"/>
          </w:tcPr>
          <w:p w14:paraId="14962746">
            <w:pPr>
              <w:rPr>
                <w:sz w:val="26"/>
                <w:szCs w:val="26"/>
              </w:rPr>
            </w:pPr>
          </w:p>
        </w:tc>
        <w:tc>
          <w:tcPr>
            <w:tcW w:type="pct" w:w="471"/>
            <w:shd w:fill="auto" w:color="auto" w:val="clear"/>
            <w:vAlign w:val="center"/>
          </w:tcPr>
          <w:p w14:paraId="5F6D777A">
            <w:pPr>
              <w:ind w:rightChars="-50" w:right="-105" w:leftChars="-50" w:left="-105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1EDC35CC">
      <w:pPr>
        <w:jc w:val="center"/>
      </w:pPr>
    </w:p>
    <w:p w14:paraId="010891C1"/>
    <w:sectPr>
      <w:headerReference w:type="default" r:id="rId3"/>
      <w:pgSz w:h="16838" w:w="11906"/>
      <w:pgMar w:gutter="0" w:footer="992" w:header="851" w:left="1800" w:bottom="1440" w:right="1800" w:top="1440"/>
      <w:cols w:num="1" w:space="425"/>
      <w:docGrid w:charSpace="0"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o="urn:schemas-microsoft-com:office:office" xmlns:v="urn:schemas-microsoft-com:vm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m="http://schemas.openxmlformats.org/officeDocument/2006/math" xmlns:wp14="http://schemas.microsoft.com/office/word/2010/wordprocessingDrawing" xmlns:a="http://schemas.openxmlformats.org/drawingml/2006/main" xmlns:wp="http://schemas.openxmlformats.org/drawingml/2006/wordprocessingDrawing" xmlns:w14="http://schemas.microsoft.com/office/word/2010/wordml" xmlns:r="http://schemas.openxmlformats.org/officeDocument/2006/relationships" xmlns:w="http://schemas.openxmlformats.org/wordprocessingml/2006/main" mc:Ignorable="w14 w15 wp14">
  <w:p w14:paraId="63DD1C9A">
    <w:r>
      <w:pict>
        <v:shape o:preferrelative="t" o:spt="75.0" filled="f" stroked="f" o:allowincell="f" o:spid="_x0000_s3074" id="WordPictureWatermark19867469" style="position:absolute;left:0pt;height:586.8pt;width:414.85pt;mso-position-horizontal:center;mso-position-horizontal-relative:margin;mso-position-vertical:center;mso-position-vertical-relative:margin;z-index:-251657216;mso-width-relative:page;mso-height-relative:page;" coordsize="21600,21600" type="#_x0000_t75">
          <v:path/>
          <v:fill focussize="0,0" on="f"/>
          <v:stroke joinstyle="miter" on="f"/>
          <v:imagedata blacklevel="22938f" gain="19661f" r:id="rId1" o:title="1"/>
          <o:lock v:ext="edit" aspectratio="t"/>
        </v:shape>
      </w:pict>
    </w:r>
    <w:r>
      <w:rPr>
        <w:noProof/>
      </w:rPr>
      <w:pict>
        <v:shapetype id="_x0000_t75" coordsize="21600,21600" path="m@4@5l@4@11@9@11@9@5xe" o:preferrelative="t" o:spt="75.0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o:connecttype="rect" gradientshapeok="t"/>
          <o:lock v:ext="edit" aspectratio="t"/>
        </v:shapetype>
        <v:shape o:allowincell="f" o:spid="_x0000_s2050" id="WordPictureWatermark835936646" style="position:absolute;margin-left:0;margin-top:0;width:510.05pt;height:721.8pt;z-index:-251657216;mso-position-horizontal:center;mso-position-horizontal-relative:margin;mso-position-vertical:center;mso-position-vertical-relative:margin" type="#_x0000_t75">
          <v:imagedata blacklevel="22938f" gain="19661f" r:id="rId2" o:title="docx4j-logo"/>
        </v:shape>
      </w:pict>
    </w:r>
  </w:p>
</w:hdr>
</file>

<file path=word/settings.xml><?xml version="1.0" encoding="utf-8"?>
<w:settings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xvml="urn:schemas-microsoft-com:office:excel" xmlns:o="urn:schemas-microsoft-com:office:office" xmlns:v="urn:schemas-microsoft-com:vm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m="http://schemas.openxmlformats.org/officeDocument/2006/math" xmlns:wp14="http://schemas.microsoft.com/office/word/2010/wordprocessingDrawing" xmlns:a="http://schemas.openxmlformats.org/drawingml/2006/main" xmlns:wp="http://schemas.openxmlformats.org/drawingml/2006/wordprocessingDrawing" xmlns:w14="http://schemas.microsoft.com/office/word/2010/wordml" xmlns:r="http://schemas.openxmlformats.org/officeDocument/2006/relationships" xmlns:w="http://schemas.openxmlformats.org/wordprocessingml/2006/main" mc:Ignorable="">
  <w:zoom w:percent="100"/>
  <w:embedSystemFonts/>
  <w:bordersDoNotSurroundHeader w:val="true"/>
  <w:bordersDoNotSurroundFooter w:val="true"/>
  <w:documentProtection w:enforcement="false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docVars>
    <w:docVar w:val="eyJoZGlkIjoiZGU4OGY5ZWE5MmJlMDQ3MDE3ZjE5NGJlZDJlNDk5ZTQifQ==" w:name="commondata"/>
  </w:docVars>
  <w:rsids>
    <w:rsidRoot w:val="0027786C"/>
    <w:rsid w:val="0027786C"/>
    <w:rsid w:val="00844BC8"/>
    <w:rsid w:val="00890A49"/>
    <w:rsid w:val="38986498"/>
    <w:rsid w:val="3A68547D"/>
    <w:rsid w:val="57B27F05"/>
    <w:rsid w:val="60800A8D"/>
    <w:rsid w:val="639E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followedHyperlink="followedHyperlink" w:hyperlink="hyperlink" w:accent6="accent6" w:accent5="accent5" w:accent4="accent4" w:accent3="accent3" w:accent2="accent2" w:accent1="accent1" w:t2="dark2" w:bg2="light2" w:t1="dark1" w:bg1="light1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hint="eastAsia" w:ascii="仿宋" w:hAnsi="仿宋" w:eastAsia="仿宋" w:cs="Times New Roman"/>
      <w:sz w:val="31"/>
      <w:szCs w:val="31"/>
    </w:rPr>
  </w:style>
  <w:style w:type="table" w:styleId="4">
    <w:name w:val="Table Grid"/>
    <w:basedOn w:val="3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_0"/>
    <w:basedOn w:val="3"/>
    <w:qFormat/>
    <w:uiPriority w:val="0"/>
    <w:rPr>
      <w:rFonts w:ascii="Times New Roman" w:hAnsi="Times New Roman" w:cs="Times New Roman"/>
    </w:rPr>
    <w:tblPr>
      <w:tblCellMar>
        <w:left w:w="0" w:type="dxa"/>
        <w:right w:w="0" w:type="dxa"/>
      </w:tblCellMar>
    </w:tblPr>
  </w:style>
  <w:style w:type="paragraph" w:customStyle="1" w:styleId="7">
    <w:name w:val="Table Text"/>
    <w:basedOn w:val="1"/>
    <w:hidden/>
    <w:qFormat/>
    <w:uiPriority w:val="0"/>
    <w:rPr>
      <w:rFonts w:hint="eastAsia" w:ascii="仿宋" w:hAnsi="仿宋" w:eastAsia="仿宋" w:cs="Times New Roman"/>
      <w:sz w:val="28"/>
      <w:szCs w:val="28"/>
    </w:rPr>
  </w:style>
</w:styles>
</file>

<file path=word/_rels/document.xml.rels><?xml version='1.0' encoding='UTF-8'?>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'1.0' encoding='UTF-8'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background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?>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:s="http://www.wps.cn/officeDocument/2013/wpsCustomData" xmlns="http://www.wps.cn/officeDocument/2013/wpsCustomData">
  <customSectProps/>
  <customShpExts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660</Words>
  <Characters>698</Characters>
  <Lines>5</Lines>
  <Paragraphs>1</Paragraphs>
  <TotalTime>1</TotalTime>
  <ScaleCrop>false</ScaleCrop>
  <LinksUpToDate>false</LinksUpToDate>
  <CharactersWithSpaces>698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2024-11-13T03:34:00Z</dcterms:created>
  <dc:creator>GZUCM5</dc:creator>
  <cp:lastModifiedBy>梁</cp:lastModifiedBy>
  <dcterms:modified xsi:type="dcterms:W3CDTF">2025-10-31T07:32:36Z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4B2C0EBCC1E84612BD6EDEABFFA311D1_12</vt:lpwstr>
  </property>
  <property fmtid="{D5CDD505-2E9C-101B-9397-08002B2CF9AE}" pid="4" name="KSOTemplateDocerSaveRecord">
    <vt:lpwstr>eyJoZGlkIjoiZGU4OGY5ZWE5MmJlMDQ3MDE3ZjE5NGJlZDJlNDk5ZTQiLCJ1c2VySWQiOiIxMTQwNTg0NjQ2In0=</vt:lpwstr>
  </property>
</Properties>
</file>