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0B3E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right="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9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59"/>
          <w:sz w:val="32"/>
          <w:szCs w:val="32"/>
          <w:lang w:val="en-US" w:eastAsia="zh-CN"/>
        </w:rPr>
        <w:t>3</w:t>
      </w:r>
    </w:p>
    <w:p w14:paraId="30E4AC0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6" w:firstLineChars="200"/>
        <w:jc w:val="both"/>
        <w:textAlignment w:val="baseline"/>
        <w:rPr>
          <w:rFonts w:hint="eastAsia" w:ascii="方正小标宋简体" w:hAnsi="方正小标宋简体" w:eastAsia="方正小标宋简体" w:cs="方正小标宋简体"/>
          <w:spacing w:val="9"/>
          <w:sz w:val="32"/>
          <w:szCs w:val="32"/>
          <w:lang w:val="en-US" w:eastAsia="zh-CN"/>
        </w:rPr>
      </w:pPr>
    </w:p>
    <w:p w14:paraId="3815D82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9"/>
          <w:sz w:val="44"/>
          <w:szCs w:val="44"/>
          <w:lang w:val="en-US" w:eastAsia="zh-CN"/>
        </w:rPr>
        <w:t>吉林省</w:t>
      </w:r>
      <w:r>
        <w:rPr>
          <w:rFonts w:hint="eastAsia" w:ascii="方正小标宋简体" w:hAnsi="方正小标宋简体" w:eastAsia="方正小标宋简体" w:cs="方正小标宋简体"/>
          <w:spacing w:val="9"/>
          <w:sz w:val="44"/>
          <w:szCs w:val="44"/>
        </w:rPr>
        <w:t>研究生线上金课建设技术要求</w:t>
      </w:r>
    </w:p>
    <w:p w14:paraId="4041F03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6" w:firstLineChars="200"/>
        <w:jc w:val="both"/>
        <w:textAlignment w:val="baseline"/>
        <w:rPr>
          <w:rFonts w:hint="eastAsia" w:ascii="仿宋_GB2312" w:hAnsi="仿宋_GB2312" w:eastAsia="仿宋_GB2312" w:cs="仿宋_GB2312"/>
          <w:spacing w:val="9"/>
          <w:sz w:val="32"/>
          <w:szCs w:val="32"/>
        </w:rPr>
      </w:pPr>
    </w:p>
    <w:p w14:paraId="6561BAA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为保障研究生在线开放课程规范、有效开发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，发挥课程示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范引领作用，提出以下技术要求。</w:t>
      </w:r>
    </w:p>
    <w:p w14:paraId="324A8B1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8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7"/>
          <w:sz w:val="32"/>
          <w:szCs w:val="32"/>
        </w:rPr>
        <w:t>一、基本条件</w:t>
      </w:r>
    </w:p>
    <w:p w14:paraId="6F4F760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在线开放课程应以习近平新时代中国特色社会主义思想为指导，坚持党的教育方针，落实立德树人根本任务，组织、凝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炼、优化课程内容，提升研究生自主学习能力、独立研究能力、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知识创新能力和实践创新能力。</w:t>
      </w:r>
    </w:p>
    <w:p w14:paraId="43EB922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4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1.教学内容：遵循研究生教育规律，教学目标明确，课程内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容规范完整，反映学科、专业基本内容与最新发展成果，内容更新完善及时。无危害国家安全、涉密及其他不适宜网络公开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传播的内容，无侵犯他人知识产权内容。</w:t>
      </w:r>
    </w:p>
    <w:p w14:paraId="7F99E0F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5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2.注重科学多元的考核方式。可采用作业考试、论文、调研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报告、作品设计等多种考核方式，全面检测、评价研究生的学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习过程和学习效果。</w:t>
      </w:r>
    </w:p>
    <w:p w14:paraId="15352CA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5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3.深度融合现代化教育技术。充分运用智慧教学工具创新授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课方式和教学方法，注重教与学结合，教与研结合，理论与实践相结合。充分运用信息化教学平台，建立完整、规范的教学档案，全面检测、评价研究生的学习过程和学习效果。为科学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性、可行性、客观性、导向性的研究生教学质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量提供数据支撑，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能够全面反映课程教学和研究生学习情况。</w:t>
      </w:r>
    </w:p>
    <w:p w14:paraId="031D10B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5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4.教学团队：师德师风良好、具有较高的学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术造诣、丰富的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教学经验。除课程负责人和主讲教师外，还应配备助教团队，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保障线上教学正常有序进行。</w:t>
      </w:r>
    </w:p>
    <w:p w14:paraId="34E82F2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8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7"/>
          <w:sz w:val="32"/>
          <w:szCs w:val="32"/>
        </w:rPr>
        <w:t>二、课程资源</w:t>
      </w:r>
    </w:p>
    <w:p w14:paraId="4C1B0ED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在线开放课程资源应包括课程全部教学内容、教学过程和教学活动涉及的教学资源。必须含有课程介绍、教学大纲、授课视频、作业与测验，同时可结合教学需求提供案例、参考文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献等辅助学习资源。以下标*为必含内容。</w:t>
      </w:r>
    </w:p>
    <w:p w14:paraId="0D43DDF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47" w:firstLineChars="200"/>
        <w:jc w:val="both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"/>
          <w:position w:val="2"/>
          <w:sz w:val="32"/>
          <w:szCs w:val="32"/>
        </w:rPr>
        <w:t>1.课程介绍*</w:t>
      </w:r>
    </w:p>
    <w:p w14:paraId="43B54A0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课程介绍是面向全体研究生开放的窗口信息，是研究生了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解课程的重要渠道。</w:t>
      </w:r>
    </w:p>
    <w:tbl>
      <w:tblPr>
        <w:tblStyle w:val="5"/>
        <w:tblW w:w="8528" w:type="dxa"/>
        <w:tblInd w:w="8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"/>
        <w:gridCol w:w="1648"/>
        <w:gridCol w:w="2"/>
        <w:gridCol w:w="6874"/>
        <w:gridCol w:w="2"/>
      </w:tblGrid>
      <w:tr w14:paraId="0BCE6E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409" w:hRule="atLeast"/>
        </w:trPr>
        <w:tc>
          <w:tcPr>
            <w:tcW w:w="1650" w:type="dxa"/>
            <w:gridSpan w:val="2"/>
            <w:vAlign w:val="top"/>
          </w:tcPr>
          <w:p w14:paraId="6814BB6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sz w:val="32"/>
                <w:szCs w:val="32"/>
              </w:rPr>
              <w:t>项目名称</w:t>
            </w:r>
          </w:p>
        </w:tc>
        <w:tc>
          <w:tcPr>
            <w:tcW w:w="6876" w:type="dxa"/>
            <w:gridSpan w:val="2"/>
            <w:vAlign w:val="top"/>
          </w:tcPr>
          <w:p w14:paraId="27F3B38C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用途及要求</w:t>
            </w:r>
          </w:p>
        </w:tc>
      </w:tr>
      <w:tr w14:paraId="4745DB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804" w:hRule="atLeast"/>
        </w:trPr>
        <w:tc>
          <w:tcPr>
            <w:tcW w:w="1650" w:type="dxa"/>
            <w:gridSpan w:val="2"/>
            <w:vAlign w:val="top"/>
          </w:tcPr>
          <w:p w14:paraId="554B0C52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课程推介语</w:t>
            </w:r>
          </w:p>
        </w:tc>
        <w:tc>
          <w:tcPr>
            <w:tcW w:w="6876" w:type="dxa"/>
            <w:gridSpan w:val="2"/>
            <w:vAlign w:val="top"/>
          </w:tcPr>
          <w:p w14:paraId="32EFFCC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简要介绍课程教学目标、课程特色、适用对象等，字数</w:t>
            </w: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>不超过500字。</w:t>
            </w:r>
          </w:p>
        </w:tc>
      </w:tr>
      <w:tr w14:paraId="165148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804" w:hRule="atLeast"/>
        </w:trPr>
        <w:tc>
          <w:tcPr>
            <w:tcW w:w="1650" w:type="dxa"/>
            <w:gridSpan w:val="2"/>
            <w:vAlign w:val="top"/>
          </w:tcPr>
          <w:p w14:paraId="1389AFE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课程宣传片</w:t>
            </w:r>
          </w:p>
        </w:tc>
        <w:tc>
          <w:tcPr>
            <w:tcW w:w="6876" w:type="dxa"/>
            <w:gridSpan w:val="2"/>
            <w:vAlign w:val="top"/>
          </w:tcPr>
          <w:p w14:paraId="284C502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展示课程建设理念、内容特色、教学团队风貌等，时长不超过2分钟。</w:t>
            </w:r>
          </w:p>
        </w:tc>
      </w:tr>
      <w:tr w14:paraId="3220ED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804" w:hRule="atLeast"/>
        </w:trPr>
        <w:tc>
          <w:tcPr>
            <w:tcW w:w="1650" w:type="dxa"/>
            <w:gridSpan w:val="2"/>
            <w:vAlign w:val="top"/>
          </w:tcPr>
          <w:p w14:paraId="4ABB992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课程介绍</w:t>
            </w:r>
          </w:p>
        </w:tc>
        <w:tc>
          <w:tcPr>
            <w:tcW w:w="6876" w:type="dxa"/>
            <w:gridSpan w:val="2"/>
            <w:vAlign w:val="top"/>
          </w:tcPr>
          <w:p w14:paraId="508FC29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说明课程所属学科、教学内容、教学方法及</w:t>
            </w: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内容组织形式、适用对象等。</w:t>
            </w:r>
          </w:p>
        </w:tc>
      </w:tr>
      <w:tr w14:paraId="79AC2C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804" w:hRule="atLeast"/>
        </w:trPr>
        <w:tc>
          <w:tcPr>
            <w:tcW w:w="1650" w:type="dxa"/>
            <w:gridSpan w:val="2"/>
            <w:vAlign w:val="top"/>
          </w:tcPr>
          <w:p w14:paraId="5BC11035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课程封面图</w:t>
            </w:r>
          </w:p>
        </w:tc>
        <w:tc>
          <w:tcPr>
            <w:tcW w:w="6876" w:type="dxa"/>
            <w:gridSpan w:val="2"/>
            <w:vAlign w:val="top"/>
          </w:tcPr>
          <w:p w14:paraId="2E06B045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32"/>
                <w:szCs w:val="32"/>
              </w:rPr>
              <w:t>体现学科特点的图片；建议提供1125*</w:t>
            </w: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</w:rPr>
              <w:t>634像素高清版，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jpg</w:t>
            </w: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>格式</w:t>
            </w:r>
          </w:p>
        </w:tc>
      </w:tr>
      <w:tr w14:paraId="5CC059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2" w:type="dxa"/>
          <w:trHeight w:val="1217" w:hRule="atLeast"/>
        </w:trPr>
        <w:tc>
          <w:tcPr>
            <w:tcW w:w="1650" w:type="dxa"/>
            <w:gridSpan w:val="2"/>
            <w:vAlign w:val="top"/>
          </w:tcPr>
          <w:p w14:paraId="1C1C3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7D2654D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教学团队</w:t>
            </w:r>
          </w:p>
        </w:tc>
        <w:tc>
          <w:tcPr>
            <w:tcW w:w="6876" w:type="dxa"/>
            <w:gridSpan w:val="2"/>
            <w:vAlign w:val="top"/>
          </w:tcPr>
          <w:p w14:paraId="27646FC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教师简介：教师基本信息、教学经历、科研业绩等。</w:t>
            </w:r>
          </w:p>
          <w:p w14:paraId="51922FD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教师照片：一张彩色免冠照片。照片由数码相机拍摄，</w:t>
            </w: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光线均匀，轮廓分明，神态自然，不超过600KB。</w:t>
            </w:r>
          </w:p>
        </w:tc>
      </w:tr>
      <w:tr w14:paraId="526F4F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2505" w:hRule="atLeast"/>
        </w:trPr>
        <w:tc>
          <w:tcPr>
            <w:tcW w:w="1650" w:type="dxa"/>
            <w:gridSpan w:val="2"/>
            <w:vAlign w:val="top"/>
          </w:tcPr>
          <w:p w14:paraId="059C7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876" w:type="dxa"/>
            <w:gridSpan w:val="2"/>
            <w:vAlign w:val="top"/>
          </w:tcPr>
          <w:p w14:paraId="718ADF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position w:val="-43"/>
                <w:sz w:val="32"/>
                <w:szCs w:val="32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291465</wp:posOffset>
                  </wp:positionH>
                  <wp:positionV relativeFrom="paragraph">
                    <wp:posOffset>139065</wp:posOffset>
                  </wp:positionV>
                  <wp:extent cx="3651250" cy="1393825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1503" cy="1394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25F33FB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51" w:firstLineChars="200"/>
        <w:jc w:val="both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2"/>
          <w:position w:val="1"/>
          <w:sz w:val="32"/>
          <w:szCs w:val="32"/>
        </w:rPr>
        <w:t>2.课程大纲*</w:t>
      </w:r>
    </w:p>
    <w:p w14:paraId="06133D3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课程大纲是课程作用、课程性质、教学目标和教学任务以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及由此规定的课程内容、范围和教学要求的纲要。教学大纲可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参考《研究生核心课程指南（试行）》，符合专业学位、学术学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位人才培养要求。</w:t>
      </w:r>
    </w:p>
    <w:p w14:paraId="478C254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55" w:firstLineChars="200"/>
        <w:jc w:val="both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3"/>
          <w:position w:val="1"/>
          <w:sz w:val="32"/>
          <w:szCs w:val="32"/>
        </w:rPr>
        <w:t>3.课程导学</w:t>
      </w:r>
    </w:p>
    <w:p w14:paraId="124BA94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课程导学主要用于帮助研究生了解课程内容、引导研究生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合理制定学习计划。课程导学建议涵盖先修课程、学习内容及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重难点、学习目标、学习建议、考核要求、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参考教材等。</w:t>
      </w:r>
    </w:p>
    <w:p w14:paraId="5FA57D0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59" w:firstLineChars="200"/>
        <w:jc w:val="both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position w:val="2"/>
          <w:sz w:val="32"/>
          <w:szCs w:val="32"/>
        </w:rPr>
        <w:t>4.授课视频*</w:t>
      </w:r>
    </w:p>
    <w:p w14:paraId="0B848EB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9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授课视频是线上的主要教学资源，应覆盖课程大纲规定的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大部分课程内容。</w:t>
      </w:r>
    </w:p>
    <w:p w14:paraId="2E6C311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91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2"/>
          <w:sz w:val="32"/>
          <w:szCs w:val="32"/>
        </w:rPr>
        <w:t>视频选题：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应注重前沿引领和方法传授，强化研究生对创新过程的理解。加强方法论学习和训练，着力培养研究生的知识获取能力、学术鉴别能力、独立研究能力和解决实际问题能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力，并有机融入科研伦理、学术规范等学风建设。</w:t>
      </w:r>
    </w:p>
    <w:p w14:paraId="7514B91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43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视频时长：</w:t>
      </w:r>
      <w:r>
        <w:rPr>
          <w:rFonts w:hint="eastAsia" w:ascii="仿宋_GB2312" w:hAnsi="仿宋_GB2312" w:eastAsia="仿宋_GB2312" w:cs="仿宋_GB2312"/>
          <w:sz w:val="32"/>
          <w:szCs w:val="32"/>
        </w:rPr>
        <w:t>1个线上学分一般包括8讲课程内容及相应学习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时间，每讲视频总时长不少于50分钟，单一视频时长在5—15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分钟之间。</w:t>
      </w:r>
    </w:p>
    <w:p w14:paraId="52C8916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91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2"/>
          <w:sz w:val="32"/>
          <w:szCs w:val="32"/>
        </w:rPr>
        <w:t>视频形式：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可采用教师出镜讲解、手写讲解、实景讲解、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动画演示、专题短片、访谈式教学等多种表现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形式。也建议结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合课程的特点，设计有特色、传播效果好的视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频授课形式。授课视频应着重用镜头语言呈现授课内容，极力营造“一对一”授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课的感觉。视频画面清晰、图像稳定、构图合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理、声画同步，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语言规范标准，声音清晰，主讲人出镜形象和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语言应符合教师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职业规范。</w:t>
      </w:r>
    </w:p>
    <w:p w14:paraId="6DE3E9C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91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2"/>
          <w:sz w:val="32"/>
          <w:szCs w:val="32"/>
        </w:rPr>
        <w:t>视频结构要求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：单一视频应包括片头、标题页、正片、片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尾四部分。视频制作技术要求：</w:t>
      </w:r>
    </w:p>
    <w:tbl>
      <w:tblPr>
        <w:tblStyle w:val="5"/>
        <w:tblW w:w="8311" w:type="dxa"/>
        <w:tblInd w:w="9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"/>
        <w:gridCol w:w="1619"/>
        <w:gridCol w:w="4"/>
        <w:gridCol w:w="6680"/>
        <w:gridCol w:w="4"/>
      </w:tblGrid>
      <w:tr w14:paraId="4B585C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15" w:hRule="atLeast"/>
        </w:trPr>
        <w:tc>
          <w:tcPr>
            <w:tcW w:w="1623" w:type="dxa"/>
            <w:gridSpan w:val="2"/>
            <w:vAlign w:val="top"/>
          </w:tcPr>
          <w:p w14:paraId="31FBF98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3"/>
                <w:sz w:val="32"/>
                <w:szCs w:val="32"/>
              </w:rPr>
              <w:t>项目</w:t>
            </w:r>
          </w:p>
        </w:tc>
        <w:tc>
          <w:tcPr>
            <w:tcW w:w="6684" w:type="dxa"/>
            <w:gridSpan w:val="2"/>
            <w:vAlign w:val="top"/>
          </w:tcPr>
          <w:p w14:paraId="6EBF8DD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具体要求</w:t>
            </w:r>
          </w:p>
        </w:tc>
      </w:tr>
      <w:tr w14:paraId="21D215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11" w:hRule="atLeast"/>
        </w:trPr>
        <w:tc>
          <w:tcPr>
            <w:tcW w:w="1623" w:type="dxa"/>
            <w:gridSpan w:val="2"/>
            <w:vAlign w:val="top"/>
          </w:tcPr>
          <w:p w14:paraId="361A9B7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视频格式</w:t>
            </w:r>
          </w:p>
        </w:tc>
        <w:tc>
          <w:tcPr>
            <w:tcW w:w="6684" w:type="dxa"/>
            <w:gridSpan w:val="2"/>
            <w:vAlign w:val="top"/>
          </w:tcPr>
          <w:p w14:paraId="29329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MP4</w:t>
            </w:r>
          </w:p>
        </w:tc>
      </w:tr>
      <w:tr w14:paraId="654E43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05" w:hRule="atLeast"/>
        </w:trPr>
        <w:tc>
          <w:tcPr>
            <w:tcW w:w="1623" w:type="dxa"/>
            <w:gridSpan w:val="2"/>
            <w:vAlign w:val="top"/>
          </w:tcPr>
          <w:p w14:paraId="56DEC942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视频分辨率</w:t>
            </w:r>
          </w:p>
        </w:tc>
        <w:tc>
          <w:tcPr>
            <w:tcW w:w="6684" w:type="dxa"/>
            <w:gridSpan w:val="2"/>
            <w:vAlign w:val="top"/>
          </w:tcPr>
          <w:p w14:paraId="5BD4DDD8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不低于1920*1080像素</w:t>
            </w:r>
          </w:p>
        </w:tc>
      </w:tr>
      <w:tr w14:paraId="31ECBD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05" w:hRule="atLeast"/>
        </w:trPr>
        <w:tc>
          <w:tcPr>
            <w:tcW w:w="1623" w:type="dxa"/>
            <w:gridSpan w:val="2"/>
            <w:vAlign w:val="top"/>
          </w:tcPr>
          <w:p w14:paraId="0ED3FC6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视频帧率</w:t>
            </w:r>
          </w:p>
        </w:tc>
        <w:tc>
          <w:tcPr>
            <w:tcW w:w="6684" w:type="dxa"/>
            <w:gridSpan w:val="2"/>
            <w:vAlign w:val="top"/>
          </w:tcPr>
          <w:p w14:paraId="5943A87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32"/>
                <w:szCs w:val="32"/>
              </w:rPr>
              <w:t>不低于25fps（每秒帧数）</w:t>
            </w:r>
          </w:p>
        </w:tc>
      </w:tr>
      <w:tr w14:paraId="1AD3C9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05" w:hRule="atLeast"/>
        </w:trPr>
        <w:tc>
          <w:tcPr>
            <w:tcW w:w="1623" w:type="dxa"/>
            <w:gridSpan w:val="2"/>
            <w:vAlign w:val="top"/>
          </w:tcPr>
          <w:p w14:paraId="440B8F8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视频码率</w:t>
            </w:r>
          </w:p>
        </w:tc>
        <w:tc>
          <w:tcPr>
            <w:tcW w:w="6684" w:type="dxa"/>
            <w:gridSpan w:val="2"/>
            <w:vAlign w:val="top"/>
          </w:tcPr>
          <w:p w14:paraId="55A7E2C5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sz w:val="32"/>
                <w:szCs w:val="32"/>
              </w:rPr>
              <w:t>不低于8Mbps（每秒比特数）</w:t>
            </w:r>
          </w:p>
        </w:tc>
      </w:tr>
      <w:tr w14:paraId="65A116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05" w:hRule="atLeast"/>
        </w:trPr>
        <w:tc>
          <w:tcPr>
            <w:tcW w:w="1623" w:type="dxa"/>
            <w:gridSpan w:val="2"/>
            <w:vAlign w:val="top"/>
          </w:tcPr>
          <w:p w14:paraId="197C848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32"/>
                <w:szCs w:val="32"/>
              </w:rPr>
              <w:t>文件大小</w:t>
            </w:r>
          </w:p>
        </w:tc>
        <w:tc>
          <w:tcPr>
            <w:tcW w:w="6684" w:type="dxa"/>
            <w:gridSpan w:val="2"/>
            <w:vAlign w:val="top"/>
          </w:tcPr>
          <w:p w14:paraId="0453CB6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32"/>
                <w:szCs w:val="32"/>
              </w:rPr>
              <w:t>单个文件不超过1GB</w:t>
            </w:r>
          </w:p>
        </w:tc>
      </w:tr>
      <w:tr w14:paraId="217379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05" w:hRule="atLeast"/>
        </w:trPr>
        <w:tc>
          <w:tcPr>
            <w:tcW w:w="1623" w:type="dxa"/>
            <w:gridSpan w:val="2"/>
            <w:vAlign w:val="top"/>
          </w:tcPr>
          <w:p w14:paraId="0DD9F92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2"/>
                <w:szCs w:val="32"/>
              </w:rPr>
              <w:t>图像效果</w:t>
            </w:r>
          </w:p>
        </w:tc>
        <w:tc>
          <w:tcPr>
            <w:tcW w:w="6684" w:type="dxa"/>
            <w:gridSpan w:val="2"/>
            <w:vAlign w:val="top"/>
          </w:tcPr>
          <w:p w14:paraId="238B1CB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图像不过亮、过暗；人、物移动时无拖影、耀光现象</w:t>
            </w:r>
          </w:p>
        </w:tc>
      </w:tr>
      <w:tr w14:paraId="2318E3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52" w:hRule="atLeast"/>
        </w:trPr>
        <w:tc>
          <w:tcPr>
            <w:tcW w:w="1623" w:type="dxa"/>
            <w:gridSpan w:val="2"/>
            <w:vAlign w:val="top"/>
          </w:tcPr>
          <w:p w14:paraId="7E0F325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音频采样率</w:t>
            </w:r>
          </w:p>
        </w:tc>
        <w:tc>
          <w:tcPr>
            <w:tcW w:w="6684" w:type="dxa"/>
            <w:gridSpan w:val="2"/>
            <w:vAlign w:val="top"/>
          </w:tcPr>
          <w:p w14:paraId="1A225CB5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32"/>
                <w:szCs w:val="32"/>
              </w:rPr>
              <w:t>不低于48KHz</w:t>
            </w:r>
          </w:p>
        </w:tc>
      </w:tr>
      <w:tr w14:paraId="3F2B8C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52" w:hRule="atLeast"/>
        </w:trPr>
        <w:tc>
          <w:tcPr>
            <w:tcW w:w="1623" w:type="dxa"/>
            <w:gridSpan w:val="2"/>
            <w:vAlign w:val="top"/>
          </w:tcPr>
          <w:p w14:paraId="08731B22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32"/>
                <w:szCs w:val="32"/>
              </w:rPr>
              <w:t>音频码率</w:t>
            </w:r>
          </w:p>
        </w:tc>
        <w:tc>
          <w:tcPr>
            <w:tcW w:w="6684" w:type="dxa"/>
            <w:gridSpan w:val="2"/>
            <w:vAlign w:val="top"/>
          </w:tcPr>
          <w:p w14:paraId="0BD33E02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>不低于1.4Mbps</w:t>
            </w:r>
          </w:p>
        </w:tc>
      </w:tr>
      <w:tr w14:paraId="2E58B8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52" w:hRule="atLeast"/>
        </w:trPr>
        <w:tc>
          <w:tcPr>
            <w:tcW w:w="1623" w:type="dxa"/>
            <w:gridSpan w:val="2"/>
            <w:vAlign w:val="top"/>
          </w:tcPr>
          <w:p w14:paraId="3E7FCCFF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音频信噪比</w:t>
            </w:r>
          </w:p>
        </w:tc>
        <w:tc>
          <w:tcPr>
            <w:tcW w:w="6684" w:type="dxa"/>
            <w:gridSpan w:val="2"/>
            <w:vAlign w:val="top"/>
          </w:tcPr>
          <w:p w14:paraId="1FBBEB14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不低于50dB</w:t>
            </w:r>
          </w:p>
        </w:tc>
      </w:tr>
      <w:tr w14:paraId="68B1EF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1204" w:hRule="atLeast"/>
        </w:trPr>
        <w:tc>
          <w:tcPr>
            <w:tcW w:w="1623" w:type="dxa"/>
            <w:gridSpan w:val="2"/>
            <w:vAlign w:val="top"/>
          </w:tcPr>
          <w:p w14:paraId="20310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41EDC1A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声音效果</w:t>
            </w:r>
          </w:p>
        </w:tc>
        <w:tc>
          <w:tcPr>
            <w:tcW w:w="6684" w:type="dxa"/>
            <w:gridSpan w:val="2"/>
            <w:vAlign w:val="top"/>
          </w:tcPr>
          <w:p w14:paraId="4511DB1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32"/>
                <w:szCs w:val="32"/>
              </w:rPr>
              <w:t>声音和画面同步，无明显杂音、噪音、回声，无音量忽</w:t>
            </w:r>
            <w:r>
              <w:rPr>
                <w:rFonts w:hint="eastAsia" w:ascii="仿宋_GB2312" w:hAnsi="仿宋_GB2312" w:eastAsia="仿宋_GB2312" w:cs="仿宋_GB2312"/>
                <w:spacing w:val="-18"/>
                <w:sz w:val="32"/>
                <w:szCs w:val="32"/>
              </w:rPr>
              <w:t>大忽小现象，伴音清晰、饱满、圆润，解说声与现场声、</w:t>
            </w:r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背景音乐无明显比例失调</w:t>
            </w:r>
          </w:p>
        </w:tc>
      </w:tr>
      <w:tr w14:paraId="2DDDDE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52" w:hRule="atLeast"/>
        </w:trPr>
        <w:tc>
          <w:tcPr>
            <w:tcW w:w="1623" w:type="dxa"/>
            <w:gridSpan w:val="2"/>
            <w:vAlign w:val="top"/>
          </w:tcPr>
          <w:p w14:paraId="1D2B180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32"/>
                <w:szCs w:val="32"/>
              </w:rPr>
              <w:t>剪辑</w:t>
            </w:r>
          </w:p>
        </w:tc>
        <w:tc>
          <w:tcPr>
            <w:tcW w:w="6684" w:type="dxa"/>
            <w:gridSpan w:val="2"/>
            <w:vAlign w:val="top"/>
          </w:tcPr>
          <w:p w14:paraId="0B83080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>剪辑衔接自然，无空白帧</w:t>
            </w:r>
          </w:p>
        </w:tc>
      </w:tr>
      <w:tr w14:paraId="06B404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804" w:hRule="atLeast"/>
        </w:trPr>
        <w:tc>
          <w:tcPr>
            <w:tcW w:w="1623" w:type="dxa"/>
            <w:gridSpan w:val="2"/>
            <w:vAlign w:val="top"/>
          </w:tcPr>
          <w:p w14:paraId="43AD2261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字幕要求</w:t>
            </w:r>
          </w:p>
        </w:tc>
        <w:tc>
          <w:tcPr>
            <w:tcW w:w="6684" w:type="dxa"/>
            <w:gridSpan w:val="2"/>
            <w:vAlign w:val="top"/>
          </w:tcPr>
          <w:p w14:paraId="12B9564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32"/>
                <w:szCs w:val="32"/>
              </w:rPr>
              <w:t>画面文字用字规范，无错别字、繁体字、异体字，字型</w:t>
            </w: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>字号适中，课程内使用的字型、字号、所处画面一致</w:t>
            </w:r>
          </w:p>
        </w:tc>
      </w:tr>
      <w:tr w14:paraId="10600C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804" w:hRule="atLeast"/>
        </w:trPr>
        <w:tc>
          <w:tcPr>
            <w:tcW w:w="1623" w:type="dxa"/>
            <w:gridSpan w:val="2"/>
            <w:vAlign w:val="top"/>
          </w:tcPr>
          <w:p w14:paraId="31F57DD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字幕格式</w:t>
            </w:r>
          </w:p>
        </w:tc>
        <w:tc>
          <w:tcPr>
            <w:tcW w:w="6684" w:type="dxa"/>
            <w:gridSpan w:val="2"/>
            <w:vAlign w:val="top"/>
          </w:tcPr>
          <w:p w14:paraId="0D7BAEB6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字幕文件应单独制作并上传，不能与视频合并，且为</w:t>
            </w: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>SRT文件格式</w:t>
            </w:r>
          </w:p>
        </w:tc>
      </w:tr>
      <w:tr w14:paraId="300AA4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" w:type="dxa"/>
          <w:trHeight w:val="454" w:hRule="atLeast"/>
        </w:trPr>
        <w:tc>
          <w:tcPr>
            <w:tcW w:w="1623" w:type="dxa"/>
            <w:gridSpan w:val="2"/>
            <w:vAlign w:val="top"/>
          </w:tcPr>
          <w:p w14:paraId="4AB5E0B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32"/>
                <w:szCs w:val="32"/>
              </w:rPr>
              <w:t>字幕编码</w:t>
            </w:r>
          </w:p>
        </w:tc>
        <w:tc>
          <w:tcPr>
            <w:tcW w:w="6684" w:type="dxa"/>
            <w:gridSpan w:val="2"/>
            <w:vAlign w:val="top"/>
          </w:tcPr>
          <w:p w14:paraId="1CD40AD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>中文字幕必须采用UTF-8编码</w:t>
            </w:r>
          </w:p>
        </w:tc>
      </w:tr>
      <w:tr w14:paraId="31BFAC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" w:type="dxa"/>
          <w:trHeight w:val="455" w:hRule="atLeast"/>
        </w:trPr>
        <w:tc>
          <w:tcPr>
            <w:tcW w:w="1623" w:type="dxa"/>
            <w:gridSpan w:val="2"/>
            <w:vAlign w:val="top"/>
          </w:tcPr>
          <w:p w14:paraId="47CEB36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sz w:val="32"/>
                <w:szCs w:val="32"/>
              </w:rPr>
              <w:t>字幕时间轴</w:t>
            </w:r>
          </w:p>
        </w:tc>
        <w:tc>
          <w:tcPr>
            <w:tcW w:w="6684" w:type="dxa"/>
            <w:gridSpan w:val="2"/>
            <w:vAlign w:val="top"/>
          </w:tcPr>
          <w:p w14:paraId="5714535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字幕出现时间与视频声音一致</w:t>
            </w:r>
          </w:p>
        </w:tc>
      </w:tr>
      <w:tr w14:paraId="4473AC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" w:type="dxa"/>
          <w:trHeight w:val="803" w:hRule="atLeast"/>
        </w:trPr>
        <w:tc>
          <w:tcPr>
            <w:tcW w:w="1623" w:type="dxa"/>
            <w:gridSpan w:val="2"/>
            <w:vAlign w:val="top"/>
          </w:tcPr>
          <w:p w14:paraId="48A10B9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32"/>
                <w:szCs w:val="32"/>
              </w:rPr>
              <w:t>标识</w:t>
            </w:r>
          </w:p>
        </w:tc>
        <w:tc>
          <w:tcPr>
            <w:tcW w:w="6684" w:type="dxa"/>
            <w:gridSpan w:val="2"/>
            <w:vAlign w:val="top"/>
          </w:tcPr>
          <w:p w14:paraId="1726709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2"/>
                <w:sz w:val="32"/>
                <w:szCs w:val="32"/>
              </w:rPr>
              <w:t>可在画面适当位置添加课程建设单位标识，应明显且不</w:t>
            </w: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>影响正常视频内容，无其他商业性标识</w:t>
            </w:r>
          </w:p>
        </w:tc>
      </w:tr>
      <w:tr w14:paraId="0E69A4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4" w:type="dxa"/>
          <w:trHeight w:val="455" w:hRule="atLeast"/>
        </w:trPr>
        <w:tc>
          <w:tcPr>
            <w:tcW w:w="1623" w:type="dxa"/>
            <w:gridSpan w:val="2"/>
            <w:vAlign w:val="top"/>
          </w:tcPr>
          <w:p w14:paraId="47FBF17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sz w:val="32"/>
                <w:szCs w:val="32"/>
              </w:rPr>
              <w:t>片头片尾</w:t>
            </w:r>
          </w:p>
        </w:tc>
        <w:tc>
          <w:tcPr>
            <w:tcW w:w="6684" w:type="dxa"/>
            <w:gridSpan w:val="2"/>
            <w:vAlign w:val="top"/>
          </w:tcPr>
          <w:p w14:paraId="7BAFF82B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79" w:lineRule="exact"/>
              <w:ind w:left="0" w:right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32"/>
                <w:szCs w:val="32"/>
              </w:rPr>
              <w:t>片头、片尾建议不超过10秒</w:t>
            </w:r>
          </w:p>
        </w:tc>
      </w:tr>
    </w:tbl>
    <w:p w14:paraId="075C37BE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51" w:firstLineChars="200"/>
        <w:jc w:val="both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2"/>
          <w:position w:val="2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/>
          <w:bCs/>
          <w:position w:val="2"/>
          <w:sz w:val="32"/>
          <w:szCs w:val="32"/>
        </w:rPr>
        <w:t>PPT</w:t>
      </w:r>
      <w:r>
        <w:rPr>
          <w:rFonts w:hint="eastAsia" w:ascii="仿宋_GB2312" w:hAnsi="仿宋_GB2312" w:eastAsia="仿宋_GB2312" w:cs="仿宋_GB2312"/>
          <w:b/>
          <w:bCs/>
          <w:spacing w:val="2"/>
          <w:position w:val="2"/>
          <w:sz w:val="32"/>
          <w:szCs w:val="32"/>
        </w:rPr>
        <w:t>课件</w:t>
      </w:r>
    </w:p>
    <w:p w14:paraId="1A9C7F3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PPT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课件可作为授课视频的配套资源，附在视频讲解的后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面。课件要求画面简洁、重点突出、字迹清晰，字体为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已获得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授权的正版字体。</w:t>
      </w:r>
    </w:p>
    <w:p w14:paraId="7427CB0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59" w:firstLineChars="200"/>
        <w:jc w:val="both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4"/>
          <w:position w:val="1"/>
          <w:sz w:val="32"/>
          <w:szCs w:val="32"/>
        </w:rPr>
        <w:t>6.参考资料</w:t>
      </w:r>
    </w:p>
    <w:p w14:paraId="661C5BE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position w:val="1"/>
          <w:sz w:val="32"/>
          <w:szCs w:val="32"/>
        </w:rPr>
        <w:t>可提供案例、推荐教材、参考文献等辅助性学习资料。</w:t>
      </w:r>
    </w:p>
    <w:p w14:paraId="45B36F2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4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（1）案例：案例选取应体现前沿性、研究性，注重创新意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识、思维和能力培养，并设置思考问题。</w:t>
      </w:r>
    </w:p>
    <w:p w14:paraId="33A3F83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（2）推荐教材：教材建议选取近三年出版或者再版教材，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以确保教学内容的时效性。</w:t>
      </w:r>
    </w:p>
    <w:p w14:paraId="6B0983C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（3）其他资料：推荐与课程内容相关的参考文献、相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关网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站等学习资源，以便学生扩展学习。</w:t>
      </w:r>
    </w:p>
    <w:p w14:paraId="14FB944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3" w:firstLineChars="200"/>
        <w:jc w:val="both"/>
        <w:textAlignment w:val="baseline"/>
        <w:outlineLvl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5"/>
          <w:position w:val="1"/>
          <w:sz w:val="32"/>
          <w:szCs w:val="32"/>
        </w:rPr>
        <w:t>7.作业及考试*</w:t>
      </w:r>
    </w:p>
    <w:p w14:paraId="498DEC6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36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紧扣培养目标，建立“学测一体化”、“多元化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”的学习评价体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系，注重过程性评价。</w:t>
      </w:r>
    </w:p>
    <w:p w14:paraId="129E0AF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（1）平时作业：每章或每节后设置练习作业。每章10—15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道，难易度标注清晰、搭配合理。题型以客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观题（单选题、多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选题、判断题）为主，可设置少量主观题。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习题建议提供答案</w:t>
      </w:r>
      <w:r>
        <w:rPr>
          <w:rFonts w:hint="eastAsia" w:ascii="仿宋_GB2312" w:hAnsi="仿宋_GB2312" w:eastAsia="仿宋_GB2312" w:cs="仿宋_GB2312"/>
          <w:sz w:val="32"/>
          <w:szCs w:val="32"/>
        </w:rPr>
        <w:t>解析。</w:t>
      </w:r>
    </w:p>
    <w:p w14:paraId="389524C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position w:val="1"/>
          <w:sz w:val="32"/>
          <w:szCs w:val="32"/>
        </w:rPr>
        <w:t>（2）讨论：应选取部分章节设置讨论题。讨论话</w:t>
      </w:r>
      <w:r>
        <w:rPr>
          <w:rFonts w:hint="eastAsia" w:ascii="仿宋_GB2312" w:hAnsi="仿宋_GB2312" w:eastAsia="仿宋_GB2312" w:cs="仿宋_GB2312"/>
          <w:spacing w:val="5"/>
          <w:position w:val="1"/>
          <w:sz w:val="32"/>
          <w:szCs w:val="32"/>
        </w:rPr>
        <w:t>题应与课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程内容密切相关，具有开放性和研讨性，能够激发学生之间、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学生与教师之间的在线交流兴趣。</w:t>
      </w:r>
    </w:p>
    <w:p w14:paraId="09C82D4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（3）期末考试：题型以客观题为主，可设置少量主观题。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建议期末考试题库题量不少于200题，难易度标注清晰，每次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考试采用随机抽题方式，抽取50题组卷。习题建议提供答案解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析。</w:t>
      </w:r>
    </w:p>
    <w:p w14:paraId="74EE6936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课程总习题量建议达400—500题，并标注难易度层级，以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便于随机组卷，实现千人千卷，避免刷题等作弊行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为，保障在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线考核质量。</w:t>
      </w:r>
    </w:p>
    <w:p w14:paraId="3784D6E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4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6"/>
          <w:sz w:val="32"/>
          <w:szCs w:val="32"/>
        </w:rPr>
        <w:t>三、教学服务</w:t>
      </w:r>
    </w:p>
    <w:p w14:paraId="7C68BBF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position w:val="1"/>
          <w:sz w:val="32"/>
          <w:szCs w:val="32"/>
        </w:rPr>
        <w:t>课程团队应提供的教学服务包括但不限于：</w:t>
      </w:r>
    </w:p>
    <w:p w14:paraId="1D81A05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position w:val="1"/>
          <w:sz w:val="32"/>
          <w:szCs w:val="32"/>
        </w:rPr>
        <w:t>1.按预先公告的教学进程，及时发布课程教学资源；</w:t>
      </w:r>
    </w:p>
    <w:p w14:paraId="41F5539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position w:val="1"/>
          <w:sz w:val="32"/>
          <w:szCs w:val="32"/>
        </w:rPr>
        <w:t>2.周期性发布学习公告/通知提醒学生学习；</w:t>
      </w:r>
    </w:p>
    <w:p w14:paraId="77C3541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position w:val="1"/>
          <w:sz w:val="32"/>
          <w:szCs w:val="32"/>
        </w:rPr>
        <w:t>3.组织引导学生学习讨论，并及时回复学生提出的问题；</w:t>
      </w:r>
    </w:p>
    <w:p w14:paraId="7FF1CA0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position w:val="1"/>
          <w:sz w:val="32"/>
          <w:szCs w:val="32"/>
        </w:rPr>
        <w:t>4.严格考核，及时处理学生成绩相关事宜；</w:t>
      </w:r>
    </w:p>
    <w:p w14:paraId="54F6EFD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9" w:lineRule="exact"/>
        <w:ind w:left="0" w:right="0" w:firstLine="66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position w:val="1"/>
          <w:sz w:val="32"/>
          <w:szCs w:val="32"/>
        </w:rPr>
        <w:t>5.密切跟踪讨论区，防止有害信息通过课程传播。</w:t>
      </w:r>
    </w:p>
    <w:sectPr>
      <w:footerReference r:id="rId5" w:type="default"/>
      <w:pgSz w:w="11907" w:h="16840"/>
      <w:pgMar w:top="1431" w:right="1560" w:bottom="1156" w:left="1602" w:header="0" w:footer="99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85026">
    <w:pPr>
      <w:spacing w:line="176" w:lineRule="auto"/>
      <w:ind w:left="4264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22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DC84591"/>
    <w:rsid w:val="635E1621"/>
    <w:rsid w:val="E78F13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2529</Words>
  <Characters>2616</Characters>
  <TotalTime>7</TotalTime>
  <ScaleCrop>false</ScaleCrop>
  <LinksUpToDate>false</LinksUpToDate>
  <CharactersWithSpaces>2616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2025-10-15T00:01:00Z</dcterms:created>
  <dc:creator>52796</dc:creator>
  <cp:lastModifiedBy>赵赵</cp:lastModifiedBy>
  <dcterms:modified xsi:type="dcterms:W3CDTF">2025-10-31T05:46:23Z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2025-10-22T10:13:01Z</vt:filetime>
  </property>
  <property fmtid="{D5CDD505-2E9C-101B-9397-08002B2CF9AE}" pid="4" name="KSOTemplateDocerSaveRecord">
    <vt:lpwstr>eyJoZGlkIjoiYmUyNWMyMDllODhhZWY2Mjg2OTkwM2Y2ZmU1Y2RmZTkiLCJ1c2VySWQiOiI5MDkwOTYxODYifQ==</vt:lpwstr>
  </property>
  <property fmtid="{D5CDD505-2E9C-101B-9397-08002B2CF9AE}" pid="5" name="KSOProductBuildVer">
    <vt:lpwstr>2052-12.1.0.23542</vt:lpwstr>
  </property>
  <property fmtid="{D5CDD505-2E9C-101B-9397-08002B2CF9AE}" pid="6" name="ICV">
    <vt:lpwstr>C76E9A35232A476BADE59959CB7EACFF_13</vt:lpwstr>
  </property>
</Properties>
</file>