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EFB551">
      <w:pPr>
        <w:pStyle w:val="2"/>
        <w:ind w:firstLine="0" w:firstLineChars="0"/>
        <w:jc w:val="center"/>
        <w:outlineLvl w:val="0"/>
        <w:rPr>
          <w:rFonts w:eastAsia="方正小标宋简体" w:cs="Times New Roman"/>
          <w:color w:val="auto"/>
          <w:sz w:val="44"/>
          <w:szCs w:val="44"/>
        </w:rPr>
      </w:pPr>
      <w:bookmarkStart w:id="0" w:name="_GoBack"/>
      <w:bookmarkEnd w:id="0"/>
      <w:r>
        <w:rPr>
          <w:rFonts w:hint="eastAsia" w:eastAsia="方正小标宋简体" w:cs="Times New Roman"/>
          <w:color w:val="auto"/>
          <w:sz w:val="44"/>
          <w:szCs w:val="44"/>
        </w:rPr>
        <w:t>湖南能源集团相关子企业</w:t>
      </w:r>
      <w:r>
        <w:rPr>
          <w:rFonts w:eastAsia="方正小标宋简体" w:cs="Times New Roman"/>
          <w:color w:val="auto"/>
          <w:sz w:val="44"/>
          <w:szCs w:val="44"/>
        </w:rPr>
        <w:t>简介</w:t>
      </w:r>
    </w:p>
    <w:p w14:paraId="23446E55">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湖南能源集团</w:t>
      </w:r>
      <w:r>
        <w:rPr>
          <w:rFonts w:hint="eastAsia" w:ascii="Times New Roman" w:hAnsi="Times New Roman" w:eastAsia="仿宋_GB2312" w:cs="Times New Roman"/>
          <w:sz w:val="32"/>
          <w:szCs w:val="32"/>
        </w:rPr>
        <w:t>注册资本300亿元，定位为湖南省综合性能源保障主平台和全省能源战略实施主体。在省委、省政府统筹部署下，落实全省能源发展战略，承担全省能源保供功能性任务，落实省内能源资源开发任务，承接重大能源项目投资建设，代表湖南省开展省内外重大能源项目合作。致力于成为湖南能源安全保障支撑者、新型能源体系建设引领者、绿色低碳创新发展先行者。</w:t>
      </w:r>
    </w:p>
    <w:p w14:paraId="1FC15D0A">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集团主营业务包括能源、战略性新兴产业、产业投资及金融服务三大主业，以及与主业协同的设计咨询、资产管理、能建矿建等产业。</w:t>
      </w:r>
    </w:p>
    <w:p w14:paraId="5370311F">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能源产业为集团核心主业，已构建起“风光水火储气煤”多能互补格局，基本形成了集能源规划设计、投资建设、运营维护、能源交易、储能应用、能源大数据、综合能源服务于一体的能源全产业链。</w:t>
      </w:r>
    </w:p>
    <w:p w14:paraId="306043DF">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截至2025年6月集团拥有全资、控股企业 167 家，包括：</w:t>
      </w:r>
    </w:p>
    <w:p w14:paraId="497CA634">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上市公司 2 家</w:t>
      </w:r>
    </w:p>
    <w:p w14:paraId="17EF3729">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国家专精特新“小巨人”企业 4 家</w:t>
      </w:r>
    </w:p>
    <w:p w14:paraId="6A98AEB2">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省级专精特新企业 7 家</w:t>
      </w:r>
    </w:p>
    <w:p w14:paraId="553D4A19">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员工 3.2 万人</w:t>
      </w:r>
    </w:p>
    <w:p w14:paraId="59EA3E61">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资产规模、盈利能力等多项指标在省属监管企业排名前列。</w:t>
      </w:r>
    </w:p>
    <w:p w14:paraId="2E84D221">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湖南煤业股份有限公司</w:t>
      </w:r>
      <w:r>
        <w:rPr>
          <w:rFonts w:hint="eastAsia" w:ascii="Times New Roman" w:hAnsi="Times New Roman" w:eastAsia="仿宋_GB2312" w:cs="Times New Roman"/>
          <w:sz w:val="32"/>
          <w:szCs w:val="32"/>
        </w:rPr>
        <w:t>（简称“湘煤股份”）属于湖南能源集团二级企业。湖南能源集团是由湖南省能源投资集团有限公司和湖南省煤业集团有限公司于2024年9月合并重组而来。湘煤股份是由原湖南省煤业集团有限公司整合优质原煤资产，联合中国大唐集团公司、国电益阳发电有限公司、湖南涟钢、湘江产业投资、湖南发展集团、兴湘集团等六家企业于2009年6月发起设立的以上市为目的的股份公司。公司原名湖南黑金时代股份有限公司，于2020年6月更名为湖南煤业股份有限公司。公司于2016年在“新三板”挂牌，证券代码：837893。</w:t>
      </w:r>
    </w:p>
    <w:p w14:paraId="46C0CCFC">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公司目前拥有全资、控股子公司28家，拥有煤矿29处，员工总数20709人。</w:t>
      </w:r>
    </w:p>
    <w:p w14:paraId="29CA30E2">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公司始终坚持“做湖南能源保障主平台”的战略定位和使命任务，立足煤、巩固煤、提升煤、延伸煤，坚持聚焦主业、创新发展，全力打造“省内最大最具竞争力的煤炭供应综合服务商”， 到“十四五”末，煤炭产销量达到3000万吨以上，占全省需求的三分之一，主营收入突破155亿元，实现利税10亿元以上，为全省实施“三高四新”美好蓝图、建设现代化新湖南提供安全、稳定的能源保障！</w:t>
      </w:r>
    </w:p>
    <w:p w14:paraId="26941117">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湖南能源集团电力投资有限公司</w:t>
      </w:r>
      <w:r>
        <w:rPr>
          <w:rFonts w:hint="eastAsia" w:ascii="Times New Roman" w:hAnsi="Times New Roman" w:eastAsia="仿宋_GB2312" w:cs="Times New Roman"/>
          <w:sz w:val="32"/>
          <w:szCs w:val="32"/>
        </w:rPr>
        <w:t>（简称“电投公司”，原名：湖南湘投能源投资有限公司）成立于2022年1月，是湖南能源集团有限公司（以下简称“集团”）的全资子公司，注册资本金25亿元。电投公司作为集团能源投资建设运营主力军，紧紧围绕集团提出的“打造多能互补保障有力、‘一核两辅’协同发展的国内一流综合性能源集团”的战略目标，统筹推进湖南能源集团能源产业的项目开发、经营发展、品牌管理等事项，重点投资风电、光伏、水电、火电、储能、综合能源服务等能源领域。致力将公司打造成为中部一流、国内具有影响力的能源企业，成为湖南省能源保供主力军、能源供应主渠道、能源合作主平台，为满足人民美好生活用能需求、落实“三高四新”战略、建设现代化新湖南提供有力支撑。</w:t>
      </w:r>
    </w:p>
    <w:p w14:paraId="2854571A">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湖南能源集团发展股份有限公司</w:t>
      </w:r>
      <w:r>
        <w:rPr>
          <w:rFonts w:hint="eastAsia" w:ascii="Times New Roman" w:hAnsi="Times New Roman" w:eastAsia="仿宋_GB2312" w:cs="Times New Roman"/>
          <w:sz w:val="32"/>
          <w:szCs w:val="32"/>
        </w:rPr>
        <w:t>成立于1993年8月，注册资本4.64亿元，1997年5月在深圳证券交易所挂牌上市，股票简称：湖南发展，股票代码：000722。公司控股股东为湖南能源集团有限公司，实际控制人为湖南省国资委。</w:t>
      </w:r>
    </w:p>
    <w:p w14:paraId="3A81D496">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聚焦能源核心主业定位，稳健发展自然资源产业，旗下拥有多家全资及控股子公司。能源板块目前运营管理湖南境内的株洲航电、蟒塘溪、鸟儿巢3座水电站以及南洲产业园、娄星产业园、果子熟了等分布式光伏电站。自然资源开发板块从砂石销售切入，延伸至机制砂加工和砂石集散中心业务。截至2024年底，公司总资产34.41亿元，保持稳中求进的经济运行质量和盈利能力。获评省属监管企业“文明标兵单位”；通过国家高新技术企业认定。</w:t>
      </w:r>
    </w:p>
    <w:p w14:paraId="52EED580">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在习近平新时代中国特色社会主义思想指引下，公司在全面实现“三高四新”美好蓝图、加快建设现代化新湖南的征程中，将坚定不移贯彻新发展理念，立足新定位、新使命，坚持实体运营与资本运作相结合、内涵式发展与外延式扩张相结合的双驱动发展模式，聚焦“双碳”目标积极布局和推进新能源业务，大力推进公司高质量跨越式发展，全力打造国内一流的综合性能源上市企业。</w:t>
      </w:r>
    </w:p>
    <w:p w14:paraId="51C81452">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湘煤新疆能源开发有限责任公司</w:t>
      </w:r>
      <w:r>
        <w:rPr>
          <w:rFonts w:hint="eastAsia" w:ascii="Times New Roman" w:hAnsi="Times New Roman" w:eastAsia="仿宋_GB2312" w:cs="Times New Roman"/>
          <w:sz w:val="32"/>
          <w:szCs w:val="32"/>
        </w:rPr>
        <w:t>（简称：新疆煤业）于2022年8月3日在新疆维吾尔自治区吐鲁番市鄯善县注册成立，注册资本金14286万元。隶属湖南能源集团有限公司，专门负责湖南能源集团在新疆的煤炭资源勘查和开发工作。当前，正在全力推进新疆库木塔格矿区一号露天矿1000万吨/年项目开发建设。拟将一号露天矿建设成安全、高效、环保的新型智慧化绿色矿山，建设成湖南省援疆项目的典范。</w:t>
      </w:r>
    </w:p>
    <w:p w14:paraId="5BCA14D5">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号露天矿设计产能为1000万吨/年，建设工期为24个月。项目建成投产后，可安置劳动就业人员900余人，年产值近30亿元，每年可上缴税费近6亿元。将显著提升当地经济总量，带动煤炭运输、煤炭深加工等相关产业发展。可推动煤炭煤电煤化工产业发展，形成产业集群效应，提升产业竞争力。通过就业、税收、产业协同和区域合作等途径，促进资源就地转化增值，为当地经济社会发展注入持久动力。</w:t>
      </w:r>
    </w:p>
    <w:p w14:paraId="1550F024">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湖南能源集团机电工程有限公司</w:t>
      </w:r>
      <w:r>
        <w:rPr>
          <w:rFonts w:hint="eastAsia" w:ascii="Times New Roman" w:hAnsi="Times New Roman" w:eastAsia="仿宋_GB2312" w:cs="Times New Roman"/>
          <w:sz w:val="32"/>
          <w:szCs w:val="32"/>
        </w:rPr>
        <w:t>是湖南能源集团有限公司（以下简称“集团”）的全资子公司，注册资本1亿元。公司总部位于长沙，并在省内外多地设有分支机构。</w:t>
      </w:r>
    </w:p>
    <w:p w14:paraId="6EC50BF8">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作为集团能源板块专业技术服务平台，公司业务覆盖风、光、水、火、储等多种发电业态，主要承担各发电场站的运行操作、设备维护、检修技改、技术研发及应急处置等业务。公司以专业的技术团队、完善的服务体系和精湛的施工质量为基础，致力打造集团集约化、标准化、专业化、数智化的电力设备管理中心、技术支撑平台和人才培养基地，发展成为国内一流的综合型能源技术服务商，为集团实现高质量跨越式发展提供坚实的技术服务保障。</w:t>
      </w:r>
    </w:p>
    <w:p w14:paraId="58F85186">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湖南能源集团金天科技有限公司</w:t>
      </w:r>
      <w:r>
        <w:rPr>
          <w:rFonts w:hint="eastAsia" w:ascii="Times New Roman" w:hAnsi="Times New Roman" w:eastAsia="仿宋_GB2312" w:cs="Times New Roman"/>
          <w:sz w:val="32"/>
          <w:szCs w:val="32"/>
        </w:rPr>
        <w:t>（简称金天科技）成立于1996年3月，是湖南省国资委监管企业湖南能源集团有限公司全资子企业，致力于钛及钛合金精深加工材的投资、研发、生产与经营，是国家技术创新示范企业、国务院国资委“科改示范行动”标杆企业、湖南省战略性新兴产业重点企业、国家级专精特新“小巨人”企业、国家绿色工厂等，拥有国家企业技术中心等国家级、省级创新平台16个。</w:t>
      </w:r>
    </w:p>
    <w:p w14:paraId="387C1D89">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注册资本27.41亿元，总资产逾70亿元，员工人数1000余人，现已建成以钛及钛合金锭、锻件、棒、卷、板、管、箔、部件等为主要产品的万吨级高端钛金属精深加工产业链，打造了三个产业化基地和一个创新研究院，分别为：湖南湘投金天钛业科技股份有限公司(简称金天钛业，股票代码：SH688750)、湖南湘投金天钛金属股份有限公司（简称金天钛金）、湖南湘投金天新材料有限公司（简称金天新材）、湖南湘投金天先进材料创新研究院有限公司（简称金天创研院）。</w:t>
      </w:r>
    </w:p>
    <w:p w14:paraId="3E5765E2">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目前公司已跻身中国钛行业第一方阵，钛加工综合实力和高端装备用钛材位居全国前列，钛带卷、钛焊管产销量全国领先，在全球已形成较强品牌影响力，是我国大飞机、四代战机及某型号军机、航母舰载机、核潜艇、核电站、兵器和石化等钛合金材料和核心构件的主要研发和供给平台。</w:t>
      </w:r>
    </w:p>
    <w:p w14:paraId="015908CB">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湘能华磊光电股份有限公司</w:t>
      </w:r>
      <w:r>
        <w:rPr>
          <w:rFonts w:hint="eastAsia" w:ascii="Times New Roman" w:hAnsi="Times New Roman" w:eastAsia="仿宋_GB2312" w:cs="Times New Roman"/>
          <w:sz w:val="32"/>
          <w:szCs w:val="32"/>
        </w:rPr>
        <w:t>是湖南能源集团有限公司所属的一家从事LED外延、芯片、应用产品全产业链企业。公司于2008年6月26日注册登记成立，位于中国（湖南）自由贸易试验区郴州片区、郴州高新技术产业开发区，主要经营发光二极管（LED）外延材料、芯片器件及相关应用产品的生产及销售，承接 LED 照明工程设计、施工及相关服务。公司属国有控股的股份制公司，注册资本4.37亿元人民币，累计投资35亿元。</w:t>
      </w:r>
    </w:p>
    <w:p w14:paraId="55C660D1">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目前公司在册员工近430人，拥有一批高素质的第三代半导体外延芯片技术研发团队，获得湖南省科技厅首批“湖南省企业科技创新创业团队”奖，开发多项外延、芯片关键技术，产品主要以手机背光芯片、健康照明芯片、大功率车灯芯片等中高端差异化新产品为主。</w:t>
      </w:r>
    </w:p>
    <w:p w14:paraId="7929BD7C">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拥有博士后科研工作站、湖南省半导体照明工程技术研究中心、湖南省企业技术中心、湖南省工业设计中心等多个技术创新平台。公司获得省市级科技进步奖项多项。公司共申请专利604件，2024年，进入中国企业专利实力500强。近年来，公司连续被列入国家高新技术企业、湖南省重点上市后备企业、湖南省战略性新兴产业百强企业、湖南省新型工业化重点企业、湖南省智能制造示范车间、湖南省专精特新“小巨人”企业、国家专精特新“小巨人”企业等。</w:t>
      </w:r>
    </w:p>
    <w:p w14:paraId="00CB42E4">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湖南普照信息材料有限公司</w:t>
      </w:r>
      <w:r>
        <w:rPr>
          <w:rFonts w:hint="eastAsia" w:ascii="Times New Roman" w:hAnsi="Times New Roman" w:eastAsia="仿宋_GB2312" w:cs="Times New Roman"/>
          <w:sz w:val="32"/>
          <w:szCs w:val="32"/>
        </w:rPr>
        <w:t>（简称“普照材料”）成立于2003年8月，注册资本9.42亿元，是湖南能源集团有限公司下属国有控股企业。作为国内半导体及平板显示产业链关键材料领域的突破者，公司专注于攻克长期被国外垄断的“卡脖子”技术，推动国产化替代进程，助力国家科技自立自强战略实施。</w:t>
      </w:r>
    </w:p>
    <w:p w14:paraId="0EF99F2B">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近年来，公司荣获“国家高技术产业化十年成就奖”、“湖南省专精特新中小企业”、“湖南省制造业单项冠军企业”等殊荣。为完善国内产业链，加快掩模基板制造业转型升级，公司正投资18.4亿元建设高精度石英掩模基板项目。项目被纳入湖南省2025年重点项目、湖南省国资委2025年“十大产业项目”。</w:t>
      </w:r>
    </w:p>
    <w:p w14:paraId="08404D33">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作为国内掩模基板国产化领域的龙头企业，公司始终以“全面替代进口、服务国家战略”为使命，深耕半导体及平板显示产业前沿技术研发与生产，力争成为全球掩模基板核心供应商，为国内集成电路产业链安全提供关键支撑。</w:t>
      </w:r>
    </w:p>
    <w:p w14:paraId="7F420BDC">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湖南湘投轻材科技股份有限公司</w:t>
      </w:r>
      <w:r>
        <w:rPr>
          <w:rFonts w:hint="eastAsia" w:ascii="Times New Roman" w:hAnsi="Times New Roman" w:eastAsia="仿宋_GB2312" w:cs="Times New Roman"/>
          <w:sz w:val="32"/>
          <w:szCs w:val="32"/>
        </w:rPr>
        <w:t>（原湖南金天铝业高科技股份有限公司，以下简称“轻材科技”），是湖南能源集团有限公司旗下的国有企业。轻材科技成立于2000年，注册资本24620万元。轻材科技以成为我国轻金属复合材料领先企业为目标，围绕交通装备、航空航天、国防军工及电子信息等高端装备领域所需高性能轻金属复合材料开展研发与生产。</w:t>
      </w:r>
    </w:p>
    <w:p w14:paraId="45B1038F">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获评国务院国资委“科改企业”、国家知识产权优势企业、省级“专精特新”中小企业、省新材料企业，拥有轻金属复合材料制备与应用湖南省工程研究中心、新能源汽车轻量化湖南省工程研究中心、湖南省粉末冶金铝基复合材料中试平台等9个省级科研平台。研发团队获“湖南省企业科技创新领军型团队”认定，入选国家级人才计划4人次、省级人才计划18人次，州级人才6人次，现拥有博士11人、高级工程师及以上15人，承担省部级以上科研项目20余项，在轻金属复合材料及其部件领域已获授权专利93件（国内发明专利47件，海外发明专利2件）。</w:t>
      </w:r>
    </w:p>
    <w:p w14:paraId="00485CC3">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公司自主研发多系列高性能铝基复合材料制备技术，解决全行业共性技术难点，实现铝基复合材料的代际跨越。目前，已在轨道交通、新能源汽车、航空航天等领域实现市场化应用。</w:t>
      </w:r>
    </w:p>
    <w:p w14:paraId="01AEAA7C">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湖南省国智云科技有限公司</w:t>
      </w:r>
      <w:r>
        <w:rPr>
          <w:rFonts w:hint="eastAsia" w:ascii="Times New Roman" w:hAnsi="Times New Roman" w:eastAsia="仿宋_GB2312" w:cs="Times New Roman"/>
          <w:sz w:val="32"/>
          <w:szCs w:val="32"/>
        </w:rPr>
        <w:t>是在省国资委的主导下，由湖南省能源投资集团有限公司投资建设的湖南省“国资云”项目和“信创云适配中心”的运营主体。公司是由国内领先的软件企业——湖南创智数码科技股份有限公司更名重组而来，传承了国内四大软件企业“创智”的管理体系和技术基因，是我国最早从事电信运营级云管理软件（内容分发网络（CDN））开发和应用企业，一度占领国内60%的市场。</w:t>
      </w:r>
    </w:p>
    <w:p w14:paraId="39D6BB34">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湖南省国智云科技有限公司的战略定位是“湖南国资数字化监管，国企数字化转型的专属云服务平台”；使命是“保障国有数据安全，汇聚国有数据资产，赋能国资国企数字化转型”，愿景是“构建国资一盘棋、国企一朵云、数据一张网、决策一张图的数智国资体系”。湖南省国智云科技有限公司的战略目标是“成为领先的数智化云服务提供商”，实施策略是“云为基础，数赋万企，智慧能源”，目前已经开发形成了基础云服务、安全云服务、管理云服务、产业云服务四大系列产品。</w:t>
      </w:r>
    </w:p>
    <w:p w14:paraId="03C76400">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湖南省“国资云”已建成“一云多中心”的国资国企专属云服务平台。国资云控制中心以及分中心均按照等保三级标准建设，总计算力101000核，内存2454T，存贮能力13312T，出口带宽60G。“国资云”采用X86+信创的多云异构技术路线，通过统一云管理平台实现对异构云资源池统一管理。后续，将依托国资国企业务专网和云网融合体系，有序纳管第三方资源，逐步构建含中心云、边缘云、灾备云于一体的云边端协同体系，进一步提升“国资云”的规模和能力。“国资云”现已上线阳光采购平台、安全服务平台、网站托管、舆情管理、电子签章、智慧差旅、智慧党建等系统。</w:t>
      </w:r>
    </w:p>
    <w:p w14:paraId="33578F39">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目前，湖南省“国资云”已入选2023年湖南省百个数字新基建标志项目。国智云公司也依托“国资云”项目入选了湖南省制造业数字化转型供应商资源池。2024年公司获得“湖南省计算产业生态创新中心”授牌。</w:t>
      </w:r>
    </w:p>
    <w:p w14:paraId="58639E41">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湖南楚湘建设工程集团有限公司</w:t>
      </w:r>
      <w:r>
        <w:rPr>
          <w:rFonts w:hint="eastAsia" w:ascii="Times New Roman" w:hAnsi="Times New Roman" w:eastAsia="仿宋_GB2312" w:cs="Times New Roman"/>
          <w:sz w:val="32"/>
          <w:szCs w:val="32"/>
        </w:rPr>
        <w:t>（以下简称“楚湘建工”）始建于1954年，前身系原煤炭工业部直属的煤矿基本建设施工单位，后历经多次行政管理体制改革和企业改革重组，于2018年元月组建企业集团，现为湖南能源集团有限公司旗下国有全资子公司。</w:t>
      </w:r>
    </w:p>
    <w:p w14:paraId="7F350717">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注册资本金3.1亿元，总资产32亿元，拥有各类大型施工设备1200多台（套），业务涵盖矿山建设与托管、建筑安装、市政环保、地质勘探等多个领域，遍布全国20多个省市及海外地区。公司持有矿山工程、建筑工程等多项总承包与专业承包壹级资质，以及市政、隧道、环保等20余项专业资质。依托领先的技术实力和创新能力，主编国家级和行业标准4部，获省部级工法12项，拥有专利48项，是国家高新技术企业，并通过“三位一体”管理体系认证。</w:t>
      </w:r>
    </w:p>
    <w:p w14:paraId="7919D614">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以能源工程建设为核心，持续深化产业结构调整，承接多项高难度工程，成为湖南首家获煤矿安全生产许可证的施工单位。多次荣获“太阳杯”、“芙蓉杯”等行业质量大奖及多项科技奖项。未来，公司依托矿山托管和矿山工程建设两项核心业务，持续深化改革，推动转型升级，加快形成“一核、三主、多元”的业务体系，辐射全国、开拓海外，致力于打造全国矿山托管运营与工程建设一体化综合性服务企业，成为全国矿山服务行业领军者。</w:t>
      </w:r>
    </w:p>
    <w:p w14:paraId="331A9C7F">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湖南能源集团白沙实业有限责任公司</w:t>
      </w:r>
      <w:r>
        <w:rPr>
          <w:rFonts w:hint="eastAsia" w:ascii="Times New Roman" w:hAnsi="Times New Roman" w:eastAsia="仿宋_GB2312" w:cs="Times New Roman"/>
          <w:sz w:val="32"/>
          <w:szCs w:val="32"/>
        </w:rPr>
        <w:t>系湖南能源集团有限公司全资子公司，前身为湖南省白沙煤电集团，2008年9月更名为湖南省煤业集团白沙实业有限责任公司，2025年8月更名为湖南能源集团白沙实业有限责任公司。</w:t>
      </w:r>
    </w:p>
    <w:p w14:paraId="57BABEF2">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现有5家子分公司，分别是：湖南省白沙新能源发展有限公司、湖南省永耒铁路运输服务有限公司、湖南白沙置业发展有限责任公司；白沙职工医院；湖南能源集团白沙实业有限责任公司白沙信息技术服务分公司。</w:t>
      </w:r>
    </w:p>
    <w:p w14:paraId="2BD429C1">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旗下湖南省永耒铁路运输服务有限公司始建于1958年，由中共湖南省委批准原省煤炭工业局全额投资，自建自营，历经改革改制，2015年重组更名为湖南省永耒铁路运输服务有限公司，是湖南省唯一国有独资中型铁路运输企业，现隶属湖南能源集团白沙实业有限责任公司。经营范围包括铁路运输、建设工程施工、建筑劳务分包，铁路运输辅助活动、运输设备租赁服务、道路货物运输站经营、工程管理服务、设备销售及物流服务等。</w:t>
      </w:r>
    </w:p>
    <w:p w14:paraId="0488D29C">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位于湖南省衡阳市耒阳市，拥有77公里铁路专线，铁路线路北接京广铁路，南连白沙煤田红卫、兴源、白山坪、南阳四大煤业公司，东邻大唐耒阳发电厂，年运输能力500万吨，是白沙煤田煤炭、各类矿产品及大唐华银耒阳发电厂货物运输的主要通道。</w:t>
      </w:r>
    </w:p>
    <w:p w14:paraId="57AD7CA2">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湖南省国际工程咨询集团有限公司</w:t>
      </w:r>
      <w:r>
        <w:rPr>
          <w:rFonts w:hint="eastAsia" w:ascii="Times New Roman" w:hAnsi="Times New Roman" w:eastAsia="仿宋_GB2312" w:cs="Times New Roman"/>
          <w:sz w:val="32"/>
          <w:szCs w:val="32"/>
        </w:rPr>
        <w:t>（简称“湘咨集团”）前身为湖南省国际工程咨询中心，是1986年10月经湖南省政府批准成立、归口湖南省发展改革委管理的副厅级事业单位。2015年3月，改制为国有企业。2017年2月，移交给湖南能源集团作为全资子公司进行全面管理。2023年5月，与湖南省轻纺设计院有限公司整合组建为湘咨集团。</w:t>
      </w:r>
    </w:p>
    <w:p w14:paraId="34D23857">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湘咨集团是湖南省成立时间最早、规模最大、资质最全的综合性甲级工程咨询机构，是中国工程咨询协会常务理事单位、湖南省工程咨询协会会长单位、湖南省代建协会会长单位，入选了湖南省专业特色智库和全省首批全过程工程咨询试点单位，具有工程咨询、工程设计、工程勘察、工程监理等近30项专业资质，基本涵盖了建设工程的全过程。</w:t>
      </w:r>
    </w:p>
    <w:p w14:paraId="2D729321">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经过近40年的发展，湘咨集团业务结构形成以新型智库建设和全过程工程咨询为“双轮驱动”，带动智库研究、规划咨询、投资咨询、建设咨询四大板块，涉及22类专业服务协同发展的业务格局，可实现对建设工程项目的全过程咨询服务，已成为湖南工程咨询行业的“龙头”和“标杆”企业。公司共荣获全国优秀工程咨询成果奖、国家级优秀设计奖、科技进步奖、“鲁班奖”等百余项国家级奖，以及近千项省级奖，综合咨询领域的行业领军优势明显。</w:t>
      </w:r>
    </w:p>
    <w:p w14:paraId="54B80DC4">
      <w:pPr>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湖南省煤业集团资兴实业有限公司</w:t>
      </w:r>
      <w:r>
        <w:rPr>
          <w:rFonts w:hint="eastAsia" w:ascii="Times New Roman" w:hAnsi="Times New Roman" w:eastAsia="仿宋_GB2312" w:cs="Times New Roman"/>
          <w:sz w:val="32"/>
          <w:szCs w:val="32"/>
        </w:rPr>
        <w:t>系湖南能源集团有限公司二级子公司，注册资本为6626.63万元，至2024年末，资产总额为91274万元。</w:t>
      </w:r>
    </w:p>
    <w:p w14:paraId="2C1038A4">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司拥有8个分、子公司，年营业收入近10亿元，员工近千人。经营范围包括炼焦、洗煤、发电、建筑施工、房地产开发、物业管理、医疗卫生、工业园区运营等，是湖南省唯一一家煤、焦、电、汽产业链较为完整的企业。</w:t>
      </w:r>
    </w:p>
    <w:p w14:paraId="4BF67FED">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主产品生产规模：焦炭 21 万吨/年、重介质洗煤 45 万吨/年、发电 4.2 亿Kwh/年</w:t>
      </w:r>
    </w:p>
    <w:p w14:paraId="03BBC900">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是湖南能源集团能源板块中的重要组成部分，“十五五”期间，公司将坚持“以煤为主、相关多元、综合发展”的产业发展思路，以煤炭储备、洗选加工，炼焦、发电、制汽等产业为基础，做强做优做大煤、焦、电、汽清洁能源循环经济产业链，提高企业核心竞争力，构建湘南煤电一体化能源保供平台。</w:t>
      </w:r>
    </w:p>
    <w:p w14:paraId="3B867A62">
      <w:pPr>
        <w:ind w:firstLine="640" w:firstLineChars="200"/>
        <w:rPr>
          <w:rFonts w:ascii="Times New Roman" w:hAnsi="Times New Roman" w:eastAsia="仿宋_GB2312" w:cs="Times New Roman"/>
          <w:sz w:val="32"/>
          <w:szCs w:val="32"/>
        </w:rPr>
      </w:pPr>
    </w:p>
    <w:sectPr>
      <w:pgSz w:w="11906" w:h="16838"/>
      <w:pgMar w:top="2098" w:right="1474" w:bottom="1984" w:left="1587" w:header="851" w:footer="992" w:gutter="0"/>
      <w:pgNumType w:start="1"/>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简体">
    <w:altName w:val="方正舒体"/>
    <w:panose1 w:val="00000000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2E0778"/>
    <w:rsid w:val="00516C60"/>
    <w:rsid w:val="005B7354"/>
    <w:rsid w:val="005D06AB"/>
    <w:rsid w:val="008A5BD7"/>
    <w:rsid w:val="009026E6"/>
    <w:rsid w:val="00A8006A"/>
    <w:rsid w:val="00B75D5C"/>
    <w:rsid w:val="00CA2617"/>
    <w:rsid w:val="00CF5DA6"/>
    <w:rsid w:val="00D107A4"/>
    <w:rsid w:val="00EE304A"/>
    <w:rsid w:val="03244E1B"/>
    <w:rsid w:val="13F33D0F"/>
    <w:rsid w:val="20AE63C2"/>
    <w:rsid w:val="2BAC657B"/>
    <w:rsid w:val="31F00FDF"/>
    <w:rsid w:val="7443052D"/>
    <w:rsid w:val="75CD46C2"/>
    <w:rsid w:val="77AE2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99"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6" w:lineRule="auto"/>
      <w:outlineLvl w:val="0"/>
    </w:pPr>
    <w:rPr>
      <w:b/>
      <w:kern w:val="44"/>
      <w:sz w:val="44"/>
    </w:rPr>
  </w:style>
  <w:style w:type="paragraph" w:styleId="5">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正文格式"/>
    <w:basedOn w:val="3"/>
    <w:qFormat/>
    <w:uiPriority w:val="0"/>
    <w:pPr>
      <w:spacing w:line="360" w:lineRule="auto"/>
      <w:ind w:firstLine="420" w:firstLineChars="200"/>
    </w:pPr>
    <w:rPr>
      <w:rFonts w:ascii="Times New Roman" w:hAnsi="Times New Roman"/>
      <w:color w:val="000000"/>
      <w:szCs w:val="32"/>
    </w:rPr>
  </w:style>
  <w:style w:type="paragraph" w:customStyle="1" w:styleId="3">
    <w:name w:val="样式 (西文) Times New Roman (中文) 宋体 首行缩进:  2 字符"/>
    <w:basedOn w:val="1"/>
    <w:qFormat/>
    <w:uiPriority w:val="0"/>
    <w:pPr>
      <w:ind w:firstLine="560"/>
    </w:pPr>
  </w:style>
  <w:style w:type="paragraph" w:styleId="6">
    <w:name w:val="endnote text"/>
    <w:basedOn w:val="1"/>
    <w:semiHidden/>
    <w:qFormat/>
    <w:uiPriority w:val="99"/>
    <w:pPr>
      <w:snapToGrid w:val="0"/>
      <w:jc w:val="left"/>
    </w:pPr>
    <w:rPr>
      <w:rFonts w:ascii="Calibri" w:hAnsi="Calibri" w:eastAsia="宋体" w:cs="Calibri"/>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link w:val="14"/>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rPr>
      <w:sz w:val="24"/>
    </w:rPr>
  </w:style>
  <w:style w:type="paragraph" w:customStyle="1" w:styleId="12">
    <w:name w:val="样式 文字 + 首行缩进:  2 字符3"/>
    <w:basedOn w:val="1"/>
    <w:qFormat/>
    <w:uiPriority w:val="0"/>
    <w:pPr>
      <w:spacing w:line="360" w:lineRule="auto"/>
      <w:jc w:val="left"/>
    </w:pPr>
    <w:rPr>
      <w:sz w:val="28"/>
      <w:szCs w:val="28"/>
    </w:rPr>
  </w:style>
  <w:style w:type="paragraph" w:customStyle="1" w:styleId="13">
    <w:name w:val="WPSOffice手动目录 1"/>
    <w:qFormat/>
    <w:uiPriority w:val="0"/>
    <w:rPr>
      <w:rFonts w:asciiTheme="minorHAnsi" w:hAnsiTheme="minorHAnsi" w:eastAsiaTheme="minorEastAsia" w:cstheme="minorBidi"/>
      <w:lang w:val="en-US" w:eastAsia="zh-CN" w:bidi="ar-SA"/>
    </w:rPr>
  </w:style>
  <w:style w:type="character" w:customStyle="1" w:styleId="14">
    <w:name w:val="页眉 字符"/>
    <w:basedOn w:val="11"/>
    <w:link w:val="8"/>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Kingsoft</Company>
  <Pages>14</Pages>
  <Words>6655</Words>
  <Characters>6903</Characters>
  <Lines>2</Lines>
  <Paragraphs>13</Paragraphs>
  <TotalTime>10</TotalTime>
  <ScaleCrop>false</ScaleCrop>
  <LinksUpToDate>false</LinksUpToDate>
  <CharactersWithSpaces>6922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2025-09-26T02:38:00Z</dcterms:created>
  <dc:creator>谢源</dc:creator>
  <cp:lastModifiedBy>丘柒</cp:lastModifiedBy>
  <dcterms:modified xsi:type="dcterms:W3CDTF">2025-10-10T07:51:41Z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C3FEA94691E145BCAA52D8BE49C4169C_13</vt:lpwstr>
  </property>
</Properties>
</file>