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6A5F0">
      <w:bookmarkStart w:id="0" w:name="_GoBack"/>
      <w:bookmarkEnd w:id="0"/>
      <w:r>
        <w:rPr>
          <w:rFonts w:hint="eastAsia"/>
        </w:rPr>
        <w:t>附件1 企业信息一览表</w:t>
      </w:r>
    </w:p>
    <w:tbl>
      <w:tblPr>
        <w:tblStyle w:val="18"/>
        <w:tblW w:w="1407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2758"/>
        <w:gridCol w:w="6257"/>
        <w:gridCol w:w="2764"/>
        <w:gridCol w:w="1768"/>
      </w:tblGrid>
      <w:tr w14:paraId="7C6CF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shd w:val="clear" w:color="auto" w:fill="FFFFFF"/>
            <w:noWrap/>
            <w:vAlign w:val="center"/>
          </w:tcPr>
          <w:p w14:paraId="0F68BCE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序号</w:t>
            </w:r>
          </w:p>
        </w:tc>
        <w:tc>
          <w:tcPr>
            <w:tcW w:w="2758" w:type="dxa"/>
            <w:shd w:val="clear" w:color="auto" w:fill="FFFFFF"/>
            <w:vAlign w:val="center"/>
          </w:tcPr>
          <w:p w14:paraId="4024E10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企业名称</w:t>
            </w:r>
          </w:p>
        </w:tc>
        <w:tc>
          <w:tcPr>
            <w:tcW w:w="6257" w:type="dxa"/>
            <w:shd w:val="clear" w:color="auto" w:fill="FFFFFF"/>
            <w:vAlign w:val="center"/>
          </w:tcPr>
          <w:p w14:paraId="61D8EEC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公司简介</w:t>
            </w:r>
          </w:p>
        </w:tc>
        <w:tc>
          <w:tcPr>
            <w:tcW w:w="2764" w:type="dxa"/>
            <w:shd w:val="clear" w:color="auto" w:fill="FFFFFF"/>
            <w:vAlign w:val="center"/>
          </w:tcPr>
          <w:p w14:paraId="5A4E2FF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岗位详情</w:t>
            </w:r>
          </w:p>
        </w:tc>
        <w:tc>
          <w:tcPr>
            <w:tcW w:w="1768" w:type="dxa"/>
            <w:shd w:val="clear" w:color="auto" w:fill="FFFFFF"/>
            <w:vAlign w:val="center"/>
          </w:tcPr>
          <w:p w14:paraId="0492525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工作地点</w:t>
            </w:r>
          </w:p>
        </w:tc>
      </w:tr>
      <w:tr w14:paraId="05D5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26" w:type="dxa"/>
            <w:vMerge w:val="restart"/>
            <w:shd w:val="clear" w:color="auto" w:fill="FFFFFF"/>
            <w:noWrap/>
            <w:vAlign w:val="center"/>
          </w:tcPr>
          <w:p w14:paraId="7AD3A06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w:t>
            </w:r>
          </w:p>
        </w:tc>
        <w:tc>
          <w:tcPr>
            <w:tcW w:w="2758" w:type="dxa"/>
            <w:vMerge w:val="restart"/>
            <w:shd w:val="clear" w:color="auto" w:fill="FFFFFF"/>
            <w:vAlign w:val="center"/>
          </w:tcPr>
          <w:p w14:paraId="23BE524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江西变压器科技股份有限公司</w:t>
            </w:r>
          </w:p>
        </w:tc>
        <w:tc>
          <w:tcPr>
            <w:tcW w:w="6257" w:type="dxa"/>
            <w:vMerge w:val="restart"/>
            <w:shd w:val="clear" w:color="auto" w:fill="FFFFFF"/>
            <w:vAlign w:val="center"/>
          </w:tcPr>
          <w:p w14:paraId="57678885">
            <w:pPr>
              <w:widowControl/>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变压器科技股份有限公司（简称：江变科技）制造变压器始于1954年，集大型变压器研发、制造、维护于一体的高新技术企业，公司70年来致力于为有色金属冶炼等行业客户提供专业的定制化解决方案，产品销售网络覆盖全国。公司曾先后获得“全国机械工业先进集体”、江西工业“四率标兵”企业、南昌市纳税10强企业、南昌市销售20强企业，江西省机械行业十强企业、江西省机械行业技术创新先进单位等多个荣誉称号。经过多年努力，公司在国内整流变压器领域多年占领市场较大份额，实现了高电压、大容量整流变压器产品从生产制造到创建品牌的提升，成为中国特种变压器主要生产基地之一、江西省优质电气设备制造厂家。</w:t>
            </w:r>
          </w:p>
        </w:tc>
        <w:tc>
          <w:tcPr>
            <w:tcW w:w="2764" w:type="dxa"/>
            <w:shd w:val="clear" w:color="auto" w:fill="FFFFFF"/>
            <w:vAlign w:val="center"/>
          </w:tcPr>
          <w:p w14:paraId="39ED3387">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sz w:val="22"/>
                <w:szCs w:val="22"/>
              </w:rPr>
              <w:t>储备电气工程师</w:t>
            </w:r>
          </w:p>
        </w:tc>
        <w:tc>
          <w:tcPr>
            <w:tcW w:w="1768" w:type="dxa"/>
            <w:shd w:val="clear" w:color="auto" w:fill="FFFFFF"/>
            <w:vAlign w:val="center"/>
          </w:tcPr>
          <w:p w14:paraId="5BDE9A6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B143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26" w:type="dxa"/>
            <w:vMerge w:val="continue"/>
            <w:shd w:val="clear" w:color="auto" w:fill="FFFFFF"/>
            <w:noWrap/>
            <w:vAlign w:val="center"/>
          </w:tcPr>
          <w:p w14:paraId="6AD08581">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5C9E92F5">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A78ACD3">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28B031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sz w:val="22"/>
                <w:szCs w:val="22"/>
              </w:rPr>
              <w:t>海外销售经理</w:t>
            </w:r>
          </w:p>
        </w:tc>
        <w:tc>
          <w:tcPr>
            <w:tcW w:w="1768" w:type="dxa"/>
            <w:shd w:val="clear" w:color="auto" w:fill="FFFFFF"/>
            <w:vAlign w:val="center"/>
          </w:tcPr>
          <w:p w14:paraId="7A02DE3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649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26" w:type="dxa"/>
            <w:vMerge w:val="continue"/>
            <w:shd w:val="clear" w:color="auto" w:fill="FFFFFF"/>
            <w:noWrap/>
            <w:vAlign w:val="center"/>
          </w:tcPr>
          <w:p w14:paraId="30E1899A">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5768A885">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6515CC6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04FA6A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sz w:val="22"/>
                <w:szCs w:val="22"/>
              </w:rPr>
              <w:t>海外销售工程师</w:t>
            </w:r>
          </w:p>
        </w:tc>
        <w:tc>
          <w:tcPr>
            <w:tcW w:w="1768" w:type="dxa"/>
            <w:shd w:val="clear" w:color="auto" w:fill="FFFFFF"/>
            <w:vAlign w:val="center"/>
          </w:tcPr>
          <w:p w14:paraId="5AB9D5B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26D3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vAlign w:val="center"/>
          </w:tcPr>
          <w:p w14:paraId="7B7946E7">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2</w:t>
            </w:r>
          </w:p>
        </w:tc>
        <w:tc>
          <w:tcPr>
            <w:tcW w:w="2758" w:type="dxa"/>
            <w:vMerge w:val="restart"/>
            <w:shd w:val="clear" w:color="auto" w:fill="FFFFFF"/>
            <w:vAlign w:val="center"/>
          </w:tcPr>
          <w:p w14:paraId="76A1F8B6">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江西金德锂新能源</w:t>
            </w:r>
            <w:r>
              <w:rPr>
                <w:rFonts w:hint="eastAsia" w:ascii="微软雅黑" w:hAnsi="微软雅黑" w:eastAsia="微软雅黑" w:cs="微软雅黑"/>
                <w:color w:val="000000"/>
                <w:kern w:val="0"/>
                <w:sz w:val="22"/>
                <w:szCs w:val="22"/>
                <w:lang w:bidi="ar"/>
              </w:rPr>
              <w:br w:type="textWrapping"/>
            </w:r>
            <w:r>
              <w:rPr>
                <w:rFonts w:hint="eastAsia" w:ascii="微软雅黑" w:hAnsi="微软雅黑" w:eastAsia="微软雅黑" w:cs="微软雅黑"/>
                <w:color w:val="000000"/>
                <w:kern w:val="0"/>
                <w:sz w:val="22"/>
                <w:szCs w:val="22"/>
                <w:lang w:bidi="ar"/>
              </w:rPr>
              <w:t>科技有限公司</w:t>
            </w:r>
          </w:p>
        </w:tc>
        <w:tc>
          <w:tcPr>
            <w:tcW w:w="6257" w:type="dxa"/>
            <w:vMerge w:val="restart"/>
            <w:shd w:val="clear" w:color="auto" w:fill="FFFFFF"/>
            <w:vAlign w:val="center"/>
          </w:tcPr>
          <w:p w14:paraId="3ECF546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金德锂新能源科技有限公司是佛山市金银河智能装备股份有限公司(股票代码:300619)的子公司。公司位于南昌市安义县工业化工园区，专注锂云母资源综合利用生产电池级碳酸锂、铷盐、铯盐、钾明矾、硫酸钾、硅砂及其精细化学品研发、生产与销售，形成从锂云母矿石到锂盐产品的完整化工产业链，致力于打造全球领先的锂资源绿色提取与高附加值产品研发生产基地。</w:t>
            </w:r>
          </w:p>
        </w:tc>
        <w:tc>
          <w:tcPr>
            <w:tcW w:w="2764" w:type="dxa"/>
            <w:shd w:val="clear" w:color="auto" w:fill="FFFFFF"/>
            <w:vAlign w:val="center"/>
          </w:tcPr>
          <w:p w14:paraId="32E6D29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研发员</w:t>
            </w:r>
          </w:p>
        </w:tc>
        <w:tc>
          <w:tcPr>
            <w:tcW w:w="1768" w:type="dxa"/>
            <w:shd w:val="clear" w:color="auto" w:fill="FFFFFF"/>
            <w:vAlign w:val="center"/>
          </w:tcPr>
          <w:p w14:paraId="5C2A6B8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DFD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vAlign w:val="center"/>
          </w:tcPr>
          <w:p w14:paraId="12309124">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6C3CD6A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5030CC5">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10DCE97">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化学分析员</w:t>
            </w:r>
          </w:p>
        </w:tc>
        <w:tc>
          <w:tcPr>
            <w:tcW w:w="1768" w:type="dxa"/>
            <w:shd w:val="clear" w:color="auto" w:fill="FFFFFF"/>
            <w:vAlign w:val="center"/>
          </w:tcPr>
          <w:p w14:paraId="59BB356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ED80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vAlign w:val="center"/>
          </w:tcPr>
          <w:p w14:paraId="7729C26D">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1814D55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24973A6">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6E6899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品质专员</w:t>
            </w:r>
          </w:p>
        </w:tc>
        <w:tc>
          <w:tcPr>
            <w:tcW w:w="1768" w:type="dxa"/>
            <w:shd w:val="clear" w:color="auto" w:fill="FFFFFF"/>
            <w:vAlign w:val="center"/>
          </w:tcPr>
          <w:p w14:paraId="553A0B8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3D7A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vAlign w:val="center"/>
          </w:tcPr>
          <w:p w14:paraId="2FC1103D">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1C98B19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8E238B0">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9A5865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生产员</w:t>
            </w:r>
          </w:p>
        </w:tc>
        <w:tc>
          <w:tcPr>
            <w:tcW w:w="1768" w:type="dxa"/>
            <w:shd w:val="clear" w:color="auto" w:fill="FFFFFF"/>
            <w:vAlign w:val="center"/>
          </w:tcPr>
          <w:p w14:paraId="2E1E84C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81B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vAlign w:val="center"/>
          </w:tcPr>
          <w:p w14:paraId="62B59D76">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6C66ABB4">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9D6118D">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646C1D1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设备维护员</w:t>
            </w:r>
          </w:p>
        </w:tc>
        <w:tc>
          <w:tcPr>
            <w:tcW w:w="1768" w:type="dxa"/>
            <w:shd w:val="clear" w:color="auto" w:fill="FFFFFF"/>
            <w:vAlign w:val="center"/>
          </w:tcPr>
          <w:p w14:paraId="22A6125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0726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vAlign w:val="center"/>
          </w:tcPr>
          <w:p w14:paraId="2F40C64F">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63049FE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376A37A">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396A5B4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仓管员</w:t>
            </w:r>
          </w:p>
        </w:tc>
        <w:tc>
          <w:tcPr>
            <w:tcW w:w="1768" w:type="dxa"/>
            <w:shd w:val="clear" w:color="auto" w:fill="FFFFFF"/>
            <w:vAlign w:val="center"/>
          </w:tcPr>
          <w:p w14:paraId="403BC7F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5919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526" w:type="dxa"/>
            <w:vMerge w:val="restart"/>
            <w:shd w:val="clear" w:color="auto" w:fill="FFFFFF"/>
            <w:vAlign w:val="center"/>
          </w:tcPr>
          <w:p w14:paraId="500CC71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3</w:t>
            </w:r>
          </w:p>
        </w:tc>
        <w:tc>
          <w:tcPr>
            <w:tcW w:w="2758" w:type="dxa"/>
            <w:vMerge w:val="restart"/>
            <w:shd w:val="clear" w:color="auto" w:fill="FFFFFF"/>
            <w:vAlign w:val="center"/>
          </w:tcPr>
          <w:p w14:paraId="153E268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江西研泰科技有限公司</w:t>
            </w:r>
          </w:p>
        </w:tc>
        <w:tc>
          <w:tcPr>
            <w:tcW w:w="6257" w:type="dxa"/>
            <w:vMerge w:val="restart"/>
            <w:shd w:val="clear" w:color="auto" w:fill="FFFFFF"/>
            <w:vAlign w:val="center"/>
          </w:tcPr>
          <w:p w14:paraId="0C57ED5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公司介绍江西研泰科技成立于 2015年。江西研泰作为深信服江西总代，业务覆盖江西全省，在各区域都有专业的服务团队。江西研泰科技是一家专注于向用户提供信息安全、云计算、基础架构、安全服务和物联网相关产品、解决方案和服务的供应商。用人理念公司本着以人为本的理念，围绕“客户导向”和“进取心”精神打造高效的人才团队。为团队人员提供完善的体系培训及晋升通道。</w:t>
            </w:r>
          </w:p>
        </w:tc>
        <w:tc>
          <w:tcPr>
            <w:tcW w:w="2764" w:type="dxa"/>
            <w:shd w:val="clear" w:color="auto" w:fill="FFFFFF"/>
            <w:vAlign w:val="center"/>
          </w:tcPr>
          <w:p w14:paraId="2439119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售前工程师</w:t>
            </w:r>
          </w:p>
        </w:tc>
        <w:tc>
          <w:tcPr>
            <w:tcW w:w="1768" w:type="dxa"/>
            <w:shd w:val="clear" w:color="auto" w:fill="FFFFFF"/>
            <w:vAlign w:val="center"/>
          </w:tcPr>
          <w:p w14:paraId="3C640E9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2D8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vAlign w:val="center"/>
          </w:tcPr>
          <w:p w14:paraId="1C899302">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64D983D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7A3162A">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695FAF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销售工程师</w:t>
            </w:r>
          </w:p>
        </w:tc>
        <w:tc>
          <w:tcPr>
            <w:tcW w:w="1768" w:type="dxa"/>
            <w:shd w:val="clear" w:color="auto" w:fill="FFFFFF"/>
            <w:vAlign w:val="center"/>
          </w:tcPr>
          <w:p w14:paraId="12C88D1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843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526" w:type="dxa"/>
            <w:vMerge w:val="continue"/>
            <w:shd w:val="clear" w:color="auto" w:fill="FFFFFF"/>
            <w:vAlign w:val="center"/>
          </w:tcPr>
          <w:p w14:paraId="445A8668">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5FE3175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602B94D">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18B72E6">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技术工程师</w:t>
            </w:r>
          </w:p>
        </w:tc>
        <w:tc>
          <w:tcPr>
            <w:tcW w:w="1768" w:type="dxa"/>
            <w:shd w:val="clear" w:color="auto" w:fill="FFFFFF"/>
            <w:vAlign w:val="center"/>
          </w:tcPr>
          <w:p w14:paraId="6DC3B6A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998E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526" w:type="dxa"/>
            <w:shd w:val="clear" w:color="auto" w:fill="FFFFFF"/>
            <w:noWrap/>
            <w:vAlign w:val="center"/>
          </w:tcPr>
          <w:p w14:paraId="2BE3312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4</w:t>
            </w:r>
          </w:p>
        </w:tc>
        <w:tc>
          <w:tcPr>
            <w:tcW w:w="2758" w:type="dxa"/>
            <w:shd w:val="clear" w:color="auto" w:fill="FFFFFF"/>
            <w:vAlign w:val="center"/>
          </w:tcPr>
          <w:p w14:paraId="45E0EFA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方大特钢科技股份有限公司</w:t>
            </w:r>
          </w:p>
        </w:tc>
        <w:tc>
          <w:tcPr>
            <w:tcW w:w="6257" w:type="dxa"/>
            <w:shd w:val="clear" w:color="auto" w:fill="FFFFFF"/>
            <w:vAlign w:val="center"/>
          </w:tcPr>
          <w:p w14:paraId="615758C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方大特钢科技股份有限公司（简称“方大特钢”）（股票代码：SH600507）是辽宁方大集团钢铁板块上市公司。</w:t>
            </w:r>
          </w:p>
          <w:p w14:paraId="6EF6769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目前，公司在岗员工6400余人（其中钢铁本部5100人），占地面积约3300亩。拥有国家博士后科研工作站、国家实验室认可（CNAS）检测中心和江西省弹簧钢工程研究中心，成立研发公司，专注于科研创新。公司多次被评为“中国民营企业500强”“全国钢铁工业先进集体”“江西省优强企业”，先后获得“中国品牌100强”“中国品牌年度价值奖”“第十四届中国上市公司金牛奖百强”等荣誉，被评为“国家4A级旅游景区”“江西省工业旅游示范基地”，被授予“全国厂务公开民主管理示范单位”“江西省模范劳动关系和谐企业”和“江西省企业文化建设示范单位”等称号。</w:t>
            </w:r>
          </w:p>
        </w:tc>
        <w:tc>
          <w:tcPr>
            <w:tcW w:w="2764" w:type="dxa"/>
            <w:shd w:val="clear" w:color="auto" w:fill="FFFFFF"/>
            <w:vAlign w:val="center"/>
          </w:tcPr>
          <w:p w14:paraId="0030F2C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技术研发工程师、研究员，钢铁、材料等相关岗位</w:t>
            </w:r>
          </w:p>
        </w:tc>
        <w:tc>
          <w:tcPr>
            <w:tcW w:w="1768" w:type="dxa"/>
            <w:shd w:val="clear" w:color="auto" w:fill="FFFFFF"/>
            <w:vAlign w:val="center"/>
          </w:tcPr>
          <w:p w14:paraId="70DD6C84">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6EF4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7A4AA03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5</w:t>
            </w:r>
          </w:p>
        </w:tc>
        <w:tc>
          <w:tcPr>
            <w:tcW w:w="2758" w:type="dxa"/>
            <w:vMerge w:val="restart"/>
            <w:shd w:val="clear" w:color="auto" w:fill="FFFFFF"/>
            <w:noWrap/>
            <w:vAlign w:val="center"/>
          </w:tcPr>
          <w:p w14:paraId="1BF23C1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江西航空研究院</w:t>
            </w:r>
          </w:p>
        </w:tc>
        <w:tc>
          <w:tcPr>
            <w:tcW w:w="6257" w:type="dxa"/>
            <w:vMerge w:val="restart"/>
            <w:shd w:val="clear" w:color="auto" w:fill="FFFFFF"/>
            <w:vAlign w:val="center"/>
          </w:tcPr>
          <w:p w14:paraId="36F943C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航空研究院是由江西省科技厅、南昌高新区、南昌市科技局、航空工业洪都、南昌航空大学联合组建的具有独立法人资格的事业单位。于2021年6月正式揭牌成立。研究院按照“1（研究院创新平台）+M（专业化研究机构/实验室）+N（科研成果产业孵化平台公司）”的模式运营。在顶层研究与战略领域，重点开展江西航空产业及技术规划研究；在航空产品设计与研发领域，着力于民用、商用飞行器和无人机等航空产品设计与研制；在高新技术与创新概念研究领域，重点在虚拟现实、电子信息等技术领域开展融合创新系列研究。最终建成全国领先，世界一流的航空技术创新平台；航空技术高水平科技创新示范基地；航空技术创新人才聚集平台；航空技术成果孵化平台。</w:t>
            </w:r>
          </w:p>
        </w:tc>
        <w:tc>
          <w:tcPr>
            <w:tcW w:w="2764" w:type="dxa"/>
            <w:shd w:val="clear" w:color="auto" w:fill="FFFFFF"/>
            <w:vAlign w:val="center"/>
          </w:tcPr>
          <w:p w14:paraId="13A942C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飞行器强度设计师</w:t>
            </w:r>
          </w:p>
        </w:tc>
        <w:tc>
          <w:tcPr>
            <w:tcW w:w="1768" w:type="dxa"/>
            <w:shd w:val="clear" w:color="auto" w:fill="FFFFFF"/>
            <w:vAlign w:val="center"/>
          </w:tcPr>
          <w:p w14:paraId="5F742D0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7E92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25BFA2C4">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43D3F73E">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5C0EEA6">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5902A1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飞行控制系统设计与开发工程师</w:t>
            </w:r>
          </w:p>
        </w:tc>
        <w:tc>
          <w:tcPr>
            <w:tcW w:w="1768" w:type="dxa"/>
            <w:shd w:val="clear" w:color="auto" w:fill="FFFFFF"/>
            <w:vAlign w:val="center"/>
          </w:tcPr>
          <w:p w14:paraId="46AAF797">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8D08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36F4B3E6">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4A65B04">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5CFE87D6">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BADFF5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飞行器气动力设计、计算与试验工程</w:t>
            </w:r>
          </w:p>
        </w:tc>
        <w:tc>
          <w:tcPr>
            <w:tcW w:w="1768" w:type="dxa"/>
            <w:shd w:val="clear" w:color="auto" w:fill="FFFFFF"/>
            <w:vAlign w:val="center"/>
          </w:tcPr>
          <w:p w14:paraId="4D29D4A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5C29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3E71C3C">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432FF8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3813D01">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600DFED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无人机测试工程师</w:t>
            </w:r>
          </w:p>
        </w:tc>
        <w:tc>
          <w:tcPr>
            <w:tcW w:w="1768" w:type="dxa"/>
            <w:shd w:val="clear" w:color="auto" w:fill="FFFFFF"/>
            <w:vAlign w:val="center"/>
          </w:tcPr>
          <w:p w14:paraId="13F76AA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3C36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513A70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DFC8AA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C60A002">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1E7370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嵌入式软件工程师（无人机飞控系统）</w:t>
            </w:r>
          </w:p>
        </w:tc>
        <w:tc>
          <w:tcPr>
            <w:tcW w:w="1768" w:type="dxa"/>
            <w:shd w:val="clear" w:color="auto" w:fill="FFFFFF"/>
            <w:vAlign w:val="center"/>
          </w:tcPr>
          <w:p w14:paraId="5E37F51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8596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19A10A76">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521B1CB2">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528AB9B">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344C5C6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飞行器控制研发工程师</w:t>
            </w:r>
          </w:p>
        </w:tc>
        <w:tc>
          <w:tcPr>
            <w:tcW w:w="1768" w:type="dxa"/>
            <w:shd w:val="clear" w:color="auto" w:fill="FFFFFF"/>
            <w:vAlign w:val="center"/>
          </w:tcPr>
          <w:p w14:paraId="7082E35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FCC4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49BF5EF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6</w:t>
            </w:r>
          </w:p>
        </w:tc>
        <w:tc>
          <w:tcPr>
            <w:tcW w:w="2758" w:type="dxa"/>
            <w:vMerge w:val="restart"/>
            <w:shd w:val="clear" w:color="auto" w:fill="FFFFFF"/>
            <w:noWrap/>
            <w:vAlign w:val="center"/>
          </w:tcPr>
          <w:p w14:paraId="4DAC472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江西力沃德科技有限公司</w:t>
            </w:r>
          </w:p>
        </w:tc>
        <w:tc>
          <w:tcPr>
            <w:tcW w:w="6257" w:type="dxa"/>
            <w:vMerge w:val="restart"/>
            <w:shd w:val="clear" w:color="auto" w:fill="FFFFFF"/>
            <w:vAlign w:val="center"/>
          </w:tcPr>
          <w:p w14:paraId="6533BB27">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力沃德科技有限公司，国家高新技术企业，南昌市企业技术中心，高新区光电产教联合体理事单位。公司自2005年成立以来一直专业于冶炼行业自动化设备的设计研发、生产、销售工作。公司总部座落在江西省南昌市高新区。近年力沃德高速发展，已成长为行业内标杆企业。</w:t>
            </w:r>
          </w:p>
          <w:p w14:paraId="0C9FA24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公司产品主要涉及气体分析、液相分析、智能控制、粉尘检测、无线网络、阀门、气体报警器等。目前客户已涵盖世界范围内十几个国家（刚果金、越南、印尼、塞尔维亚等），涉及有色、钢铁、化工等行业。</w:t>
            </w:r>
          </w:p>
        </w:tc>
        <w:tc>
          <w:tcPr>
            <w:tcW w:w="2764" w:type="dxa"/>
            <w:shd w:val="clear" w:color="auto" w:fill="FFFFFF"/>
            <w:vAlign w:val="center"/>
          </w:tcPr>
          <w:p w14:paraId="6321793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助理工程师</w:t>
            </w:r>
          </w:p>
        </w:tc>
        <w:tc>
          <w:tcPr>
            <w:tcW w:w="1768" w:type="dxa"/>
            <w:shd w:val="clear" w:color="auto" w:fill="FFFFFF"/>
            <w:vAlign w:val="center"/>
          </w:tcPr>
          <w:p w14:paraId="16337997">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FD7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526" w:type="dxa"/>
            <w:vMerge w:val="continue"/>
            <w:shd w:val="clear" w:color="auto" w:fill="FFFFFF"/>
            <w:noWrap/>
            <w:vAlign w:val="center"/>
          </w:tcPr>
          <w:p w14:paraId="6A5CDC9A">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787ED45">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4A62412">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4C27C4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研发工程师</w:t>
            </w:r>
          </w:p>
        </w:tc>
        <w:tc>
          <w:tcPr>
            <w:tcW w:w="1768" w:type="dxa"/>
            <w:shd w:val="clear" w:color="auto" w:fill="FFFFFF"/>
            <w:vAlign w:val="center"/>
          </w:tcPr>
          <w:p w14:paraId="6425F93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593C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318A23C3">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B8AC50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5B5B1E7">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676B746">
            <w:pPr>
              <w:widowControl/>
              <w:jc w:val="center"/>
              <w:textAlignment w:val="center"/>
            </w:pPr>
            <w:r>
              <w:rPr>
                <w:rFonts w:hint="eastAsia" w:ascii="微软雅黑" w:hAnsi="微软雅黑" w:eastAsia="微软雅黑" w:cs="微软雅黑"/>
                <w:color w:val="000000"/>
                <w:kern w:val="0"/>
                <w:sz w:val="22"/>
                <w:szCs w:val="22"/>
                <w:lang w:bidi="ar"/>
              </w:rPr>
              <w:t>销售业务员</w:t>
            </w:r>
          </w:p>
        </w:tc>
        <w:tc>
          <w:tcPr>
            <w:tcW w:w="1768" w:type="dxa"/>
            <w:shd w:val="clear" w:color="auto" w:fill="FFFFFF"/>
            <w:vAlign w:val="center"/>
          </w:tcPr>
          <w:p w14:paraId="6361AF6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751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02743EE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7</w:t>
            </w:r>
          </w:p>
        </w:tc>
        <w:tc>
          <w:tcPr>
            <w:tcW w:w="2758" w:type="dxa"/>
            <w:vMerge w:val="restart"/>
            <w:shd w:val="clear" w:color="auto" w:fill="FFFFFF"/>
            <w:noWrap/>
            <w:vAlign w:val="center"/>
          </w:tcPr>
          <w:p w14:paraId="409D90A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江西京邦达供应链管理有限公司</w:t>
            </w:r>
          </w:p>
        </w:tc>
        <w:tc>
          <w:tcPr>
            <w:tcW w:w="6257" w:type="dxa"/>
            <w:vMerge w:val="restart"/>
            <w:shd w:val="clear" w:color="auto" w:fill="FFFFFF"/>
            <w:vAlign w:val="center"/>
          </w:tcPr>
          <w:p w14:paraId="77C38972">
            <w:pPr>
              <w:pStyle w:val="15"/>
              <w:wordWrap w:val="0"/>
              <w:spacing w:before="75" w:beforeAutospacing="0" w:after="75" w:afterAutospacing="0" w:line="360" w:lineRule="atLeast"/>
              <w:jc w:val="both"/>
              <w:rPr>
                <w:rFonts w:hint="eastAsia" w:ascii="微软雅黑" w:hAnsi="微软雅黑" w:eastAsia="微软雅黑" w:cs="微软雅黑"/>
                <w:color w:val="000000"/>
                <w:sz w:val="22"/>
                <w:szCs w:val="22"/>
                <w:lang w:bidi="ar"/>
              </w:rPr>
            </w:pPr>
            <w:r>
              <w:rPr>
                <w:rFonts w:hint="eastAsia" w:ascii="微软雅黑" w:hAnsi="微软雅黑" w:eastAsia="微软雅黑" w:cs="微软雅黑"/>
                <w:color w:val="000000"/>
                <w:sz w:val="22"/>
                <w:szCs w:val="22"/>
                <w:lang w:bidi="ar"/>
              </w:rPr>
              <w:t>京东集团2007年开始自建物流，并于2017年4月25日宣布成立京东物流集团，2021年5月，京东物流于香港联交所主板上市。京东物流是中国领先的技术驱动的供应链解决方案及物流服务商，以“技术驱动，领全球高效流通和可持续发展”为使命，致力于成为全球最值得信赖的供应链基础设施服务商。京东物流正坚持“体验为本、技术驱动、效率制胜”核心发展战略，携手社会各界共建全球智能供应链基础网络(GSSC)，为客户提供一体化供应链解决方案，为消费者提供“有速度更有温度”的高品质物流服务。</w:t>
            </w:r>
          </w:p>
        </w:tc>
        <w:tc>
          <w:tcPr>
            <w:tcW w:w="2764" w:type="dxa"/>
            <w:shd w:val="clear" w:color="auto" w:fill="FFFFFF"/>
            <w:vAlign w:val="center"/>
          </w:tcPr>
          <w:p w14:paraId="237CDA6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营业部/集配站站长</w:t>
            </w:r>
          </w:p>
        </w:tc>
        <w:tc>
          <w:tcPr>
            <w:tcW w:w="1768" w:type="dxa"/>
            <w:shd w:val="clear" w:color="auto" w:fill="FFFFFF"/>
            <w:vAlign w:val="center"/>
          </w:tcPr>
          <w:p w14:paraId="07D3117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1DCE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20BE0014">
            <w:pPr>
              <w:widowControl/>
              <w:jc w:val="center"/>
              <w:textAlignment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415D596">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4AF988F">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F7C8137">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仓/场地经理</w:t>
            </w:r>
          </w:p>
        </w:tc>
        <w:tc>
          <w:tcPr>
            <w:tcW w:w="1768" w:type="dxa"/>
            <w:shd w:val="clear" w:color="auto" w:fill="FFFFFF"/>
            <w:vAlign w:val="center"/>
          </w:tcPr>
          <w:p w14:paraId="0675D79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FEC5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41997E66">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892E4B3">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65C721A">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3924FC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商务销售</w:t>
            </w:r>
          </w:p>
        </w:tc>
        <w:tc>
          <w:tcPr>
            <w:tcW w:w="1768" w:type="dxa"/>
            <w:shd w:val="clear" w:color="auto" w:fill="FFFFFF"/>
            <w:vAlign w:val="center"/>
          </w:tcPr>
          <w:p w14:paraId="2F0C24C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D63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28F3842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8</w:t>
            </w:r>
          </w:p>
        </w:tc>
        <w:tc>
          <w:tcPr>
            <w:tcW w:w="2758" w:type="dxa"/>
            <w:vMerge w:val="restart"/>
            <w:shd w:val="clear" w:color="auto" w:fill="FFFFFF"/>
            <w:noWrap/>
            <w:vAlign w:val="center"/>
          </w:tcPr>
          <w:p w14:paraId="21211E3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江西金融发展集团股份有限公司</w:t>
            </w:r>
          </w:p>
        </w:tc>
        <w:tc>
          <w:tcPr>
            <w:tcW w:w="6257" w:type="dxa"/>
            <w:vMerge w:val="restart"/>
            <w:shd w:val="clear" w:color="auto" w:fill="FFFFFF"/>
            <w:vAlign w:val="center"/>
          </w:tcPr>
          <w:p w14:paraId="0E91D6B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江西金融发展集团股份有限公司于 2016 年 6 月经江西省政府批准设立，是一家国有股份为主的混合所有制综合金融服务集团，注册资本及实收资本均为 18.2 亿元。集团发挥“混合所有制+市场化经营”双重优势，致力于“打造领先的新兴产业与金融融合发展集团”，聚焦建筑生态、供应链生态、车生态、物业资产生态、消费金融生态、人力资源生态六大领域，以“投保贷租管联动”特色服务模式为市场主体“建圈强链”，践行金融普惠价值。</w:t>
            </w:r>
          </w:p>
        </w:tc>
        <w:tc>
          <w:tcPr>
            <w:tcW w:w="2764" w:type="dxa"/>
            <w:shd w:val="clear" w:color="auto" w:fill="FFFFFF"/>
            <w:vAlign w:val="center"/>
          </w:tcPr>
          <w:p w14:paraId="0BE7DC9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业务管培生</w:t>
            </w:r>
          </w:p>
        </w:tc>
        <w:tc>
          <w:tcPr>
            <w:tcW w:w="1768" w:type="dxa"/>
            <w:shd w:val="clear" w:color="auto" w:fill="FFFFFF"/>
            <w:vAlign w:val="center"/>
          </w:tcPr>
          <w:p w14:paraId="59055A3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BC52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22F68A63">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727C690">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BF970E7">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B6D520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运营管培生</w:t>
            </w:r>
          </w:p>
        </w:tc>
        <w:tc>
          <w:tcPr>
            <w:tcW w:w="1768" w:type="dxa"/>
            <w:shd w:val="clear" w:color="auto" w:fill="FFFFFF"/>
            <w:vAlign w:val="center"/>
          </w:tcPr>
          <w:p w14:paraId="1BF0464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6093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5ABAEA5">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26579E7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A675A15">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39F78E1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风控管培生</w:t>
            </w:r>
          </w:p>
        </w:tc>
        <w:tc>
          <w:tcPr>
            <w:tcW w:w="1768" w:type="dxa"/>
            <w:shd w:val="clear" w:color="auto" w:fill="FFFFFF"/>
            <w:vAlign w:val="center"/>
          </w:tcPr>
          <w:p w14:paraId="6913574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FFEF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4BDD933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E666381">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9040543">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A4A940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财务管培生</w:t>
            </w:r>
          </w:p>
        </w:tc>
        <w:tc>
          <w:tcPr>
            <w:tcW w:w="1768" w:type="dxa"/>
            <w:shd w:val="clear" w:color="auto" w:fill="FFFFFF"/>
            <w:vAlign w:val="center"/>
          </w:tcPr>
          <w:p w14:paraId="1A1EF08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E7EC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2563BE0">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2143E22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447F3F2">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766557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人力行政管培生</w:t>
            </w:r>
          </w:p>
        </w:tc>
        <w:tc>
          <w:tcPr>
            <w:tcW w:w="1768" w:type="dxa"/>
            <w:shd w:val="clear" w:color="auto" w:fill="FFFFFF"/>
            <w:vAlign w:val="center"/>
          </w:tcPr>
          <w:p w14:paraId="4BE9AC2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3F2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4027120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9</w:t>
            </w:r>
          </w:p>
        </w:tc>
        <w:tc>
          <w:tcPr>
            <w:tcW w:w="2758" w:type="dxa"/>
            <w:vMerge w:val="restart"/>
            <w:shd w:val="clear" w:color="auto" w:fill="FFFFFF"/>
            <w:noWrap/>
            <w:vAlign w:val="center"/>
          </w:tcPr>
          <w:p w14:paraId="35EA97F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泰豪电源技术有限公司</w:t>
            </w:r>
          </w:p>
        </w:tc>
        <w:tc>
          <w:tcPr>
            <w:tcW w:w="6257" w:type="dxa"/>
            <w:vMerge w:val="restart"/>
            <w:shd w:val="clear" w:color="auto" w:fill="FFFFFF"/>
            <w:vAlign w:val="center"/>
          </w:tcPr>
          <w:p w14:paraId="03D5A6C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泰豪电源技术有限公司为泰豪科技股份有限公司全资子公司;注册资金贰亿圆整。</w:t>
            </w:r>
          </w:p>
          <w:p w14:paraId="366B8F9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致力信息技术应用，引进国际先进技术，将清华高科技技术融入三波电源五十年的设计及制造技术中,积极发展自主知识产权技术产品。公司成立以来,所研发生产的产品多次获得国家重点新产品、国家级火炬计划等殊荣,具有各种工频、中频、双频等特种电源的综合研发制造能力。</w:t>
            </w:r>
          </w:p>
          <w:p w14:paraId="577033E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产品主要有: 1-10000kW各类型智能柴(重)油发电机组、拖车电站、新能源储能产品等,广泛应用于数据中心、工厂、电信、建筑、船舶、油田、和铁路等领域。</w:t>
            </w:r>
          </w:p>
        </w:tc>
        <w:tc>
          <w:tcPr>
            <w:tcW w:w="2764" w:type="dxa"/>
            <w:shd w:val="clear" w:color="auto" w:fill="FFFFFF"/>
            <w:vAlign w:val="center"/>
          </w:tcPr>
          <w:p w14:paraId="0684DB0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机械工程师</w:t>
            </w:r>
          </w:p>
        </w:tc>
        <w:tc>
          <w:tcPr>
            <w:tcW w:w="1768" w:type="dxa"/>
            <w:shd w:val="clear" w:color="auto" w:fill="FFFFFF"/>
            <w:vAlign w:val="center"/>
          </w:tcPr>
          <w:p w14:paraId="31D42DE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052C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817D987">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600B9EE">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4E9A78B">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2CD4F4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电气工程师</w:t>
            </w:r>
          </w:p>
        </w:tc>
        <w:tc>
          <w:tcPr>
            <w:tcW w:w="1768" w:type="dxa"/>
            <w:shd w:val="clear" w:color="auto" w:fill="FFFFFF"/>
            <w:vAlign w:val="center"/>
          </w:tcPr>
          <w:p w14:paraId="1967DB3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DBEE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41EB461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79ED94C2">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A70C89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3CC3B4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售前工程师</w:t>
            </w:r>
          </w:p>
        </w:tc>
        <w:tc>
          <w:tcPr>
            <w:tcW w:w="1768" w:type="dxa"/>
            <w:shd w:val="clear" w:color="auto" w:fill="FFFFFF"/>
            <w:vAlign w:val="center"/>
          </w:tcPr>
          <w:p w14:paraId="0D0AADE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AC1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4EC1BB9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10</w:t>
            </w:r>
          </w:p>
        </w:tc>
        <w:tc>
          <w:tcPr>
            <w:tcW w:w="2758" w:type="dxa"/>
            <w:vMerge w:val="restart"/>
            <w:shd w:val="clear" w:color="auto" w:fill="FFFFFF"/>
            <w:noWrap/>
            <w:vAlign w:val="center"/>
          </w:tcPr>
          <w:p w14:paraId="7946310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润芯感知科技（南昌）有限公司</w:t>
            </w:r>
          </w:p>
        </w:tc>
        <w:tc>
          <w:tcPr>
            <w:tcW w:w="6257" w:type="dxa"/>
            <w:vMerge w:val="restart"/>
            <w:shd w:val="clear" w:color="auto" w:fill="FFFFFF"/>
            <w:vAlign w:val="center"/>
          </w:tcPr>
          <w:p w14:paraId="14D4851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华润微电子有限公司是华润集团旗下负责微电子业务投资、发展和经营管理的高科技企业，拥有芯片设计、掩模制造、晶圆制造、封装测试等全产业链一体化经营能力。自2004年起，华润微电子连续被工信部评为中国电子信息百强企业。2020年2月27日，华润微电子成功登陆科创板（股票简称“华润微”股票代码“688396”）。</w:t>
            </w:r>
          </w:p>
          <w:p w14:paraId="38033E7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润芯感知科技（南昌）有限公司位于南昌高新区微电子科技园，投资总额50亿元，占地面积100余亩，是华润微电子与南昌高新区共同投资打造的MEMS传感器产业基地。公司主营业务为MEMS传感器的设计、生产和销售。产品广泛应用于消费电子、汽车、工业和医药领域，市场前景广阔。随着新能源汽车、5G手机、物联网、人工智能等的大规模商用，公司前景无限。</w:t>
            </w:r>
          </w:p>
        </w:tc>
        <w:tc>
          <w:tcPr>
            <w:tcW w:w="2764" w:type="dxa"/>
            <w:shd w:val="clear" w:color="auto" w:fill="FFFFFF"/>
            <w:vAlign w:val="center"/>
          </w:tcPr>
          <w:p w14:paraId="6F7F4286">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设备工程师</w:t>
            </w:r>
          </w:p>
        </w:tc>
        <w:tc>
          <w:tcPr>
            <w:tcW w:w="1768" w:type="dxa"/>
            <w:shd w:val="clear" w:color="auto" w:fill="FFFFFF"/>
            <w:vAlign w:val="center"/>
          </w:tcPr>
          <w:p w14:paraId="002807D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0C8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F0B1479">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71D1B3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2AA85E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2DF656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工艺工程师</w:t>
            </w:r>
          </w:p>
        </w:tc>
        <w:tc>
          <w:tcPr>
            <w:tcW w:w="1768" w:type="dxa"/>
            <w:shd w:val="clear" w:color="auto" w:fill="FFFFFF"/>
            <w:vAlign w:val="center"/>
          </w:tcPr>
          <w:p w14:paraId="1F41F7B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817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7248B469">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A3E07FE">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68C5922F">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E85F906">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工艺整合工程师</w:t>
            </w:r>
          </w:p>
        </w:tc>
        <w:tc>
          <w:tcPr>
            <w:tcW w:w="1768" w:type="dxa"/>
            <w:shd w:val="clear" w:color="auto" w:fill="FFFFFF"/>
            <w:vAlign w:val="center"/>
          </w:tcPr>
          <w:p w14:paraId="74AF673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1F4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1190E17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11</w:t>
            </w:r>
          </w:p>
        </w:tc>
        <w:tc>
          <w:tcPr>
            <w:tcW w:w="2758" w:type="dxa"/>
            <w:vMerge w:val="restart"/>
            <w:shd w:val="clear" w:color="auto" w:fill="FFFFFF"/>
            <w:noWrap/>
            <w:vAlign w:val="center"/>
          </w:tcPr>
          <w:p w14:paraId="7E275E4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南昌市新东方教育科技有限公司</w:t>
            </w:r>
          </w:p>
        </w:tc>
        <w:tc>
          <w:tcPr>
            <w:tcW w:w="6257" w:type="dxa"/>
            <w:vMerge w:val="restart"/>
            <w:shd w:val="clear" w:color="auto" w:fill="FFFFFF"/>
            <w:vAlign w:val="center"/>
          </w:tcPr>
          <w:p w14:paraId="4759FE1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南昌新东方学校成立于2007年3月，是新东方教育科技集团开设的第三十五家分校，也是新东方教育科技集团在美国纽约交易所上市之后，在国内开设的第一家分校。江西地区最大的外语培训基地。7年来，南昌新东方学校从成立一开始就以综合类外语培训为主业。经过多年探索、创新， 培训已涵盖小学、初中、高中、大学、在职等适合各种年龄段的不同需求的课程培训。</w:t>
            </w:r>
          </w:p>
        </w:tc>
        <w:tc>
          <w:tcPr>
            <w:tcW w:w="2764" w:type="dxa"/>
            <w:shd w:val="clear" w:color="auto" w:fill="FFFFFF"/>
            <w:vAlign w:val="center"/>
          </w:tcPr>
          <w:p w14:paraId="6275F99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启明星教师（数学、物理）</w:t>
            </w:r>
          </w:p>
        </w:tc>
        <w:tc>
          <w:tcPr>
            <w:tcW w:w="1768" w:type="dxa"/>
            <w:shd w:val="clear" w:color="auto" w:fill="FFFFFF"/>
            <w:vAlign w:val="center"/>
          </w:tcPr>
          <w:p w14:paraId="62F5275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37E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3B467E65">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A6BC0BC">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2CDB02F">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7ECC44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初中学习机教师</w:t>
            </w:r>
          </w:p>
        </w:tc>
        <w:tc>
          <w:tcPr>
            <w:tcW w:w="1768" w:type="dxa"/>
            <w:shd w:val="clear" w:color="auto" w:fill="FFFFFF"/>
            <w:vAlign w:val="center"/>
          </w:tcPr>
          <w:p w14:paraId="7132C36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76BB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CD4A73B">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52063B1">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69D4E73">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BD760C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少儿素养教师</w:t>
            </w:r>
          </w:p>
        </w:tc>
        <w:tc>
          <w:tcPr>
            <w:tcW w:w="1768" w:type="dxa"/>
            <w:shd w:val="clear" w:color="auto" w:fill="FFFFFF"/>
            <w:vAlign w:val="center"/>
          </w:tcPr>
          <w:p w14:paraId="20A790D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2A29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A765849">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925C030">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84AB8D9">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35A2144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高中学习机教师</w:t>
            </w:r>
          </w:p>
        </w:tc>
        <w:tc>
          <w:tcPr>
            <w:tcW w:w="1768" w:type="dxa"/>
            <w:shd w:val="clear" w:color="auto" w:fill="FFFFFF"/>
            <w:vAlign w:val="center"/>
          </w:tcPr>
          <w:p w14:paraId="25F0D18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E6C4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2FEDFE4">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6DFFEC1">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A3CEC2F">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E3D982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高中个性化教师</w:t>
            </w:r>
          </w:p>
        </w:tc>
        <w:tc>
          <w:tcPr>
            <w:tcW w:w="1768" w:type="dxa"/>
            <w:shd w:val="clear" w:color="auto" w:fill="FFFFFF"/>
            <w:vAlign w:val="center"/>
          </w:tcPr>
          <w:p w14:paraId="1C02B1D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28C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A186852">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566CF74">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43181CA">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6A4CE46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课程顾问</w:t>
            </w:r>
          </w:p>
        </w:tc>
        <w:tc>
          <w:tcPr>
            <w:tcW w:w="1768" w:type="dxa"/>
            <w:shd w:val="clear" w:color="auto" w:fill="FFFFFF"/>
            <w:vAlign w:val="center"/>
          </w:tcPr>
          <w:p w14:paraId="22E2D18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DF2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4EA103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227DA10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897F54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8A91C7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市场运营</w:t>
            </w:r>
          </w:p>
        </w:tc>
        <w:tc>
          <w:tcPr>
            <w:tcW w:w="1768" w:type="dxa"/>
            <w:shd w:val="clear" w:color="auto" w:fill="FFFFFF"/>
            <w:vAlign w:val="center"/>
          </w:tcPr>
          <w:p w14:paraId="5AB647F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C6E2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036EDB2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12</w:t>
            </w:r>
          </w:p>
        </w:tc>
        <w:tc>
          <w:tcPr>
            <w:tcW w:w="2758" w:type="dxa"/>
            <w:vMerge w:val="restart"/>
            <w:shd w:val="clear" w:color="auto" w:fill="FFFFFF"/>
            <w:noWrap/>
            <w:vAlign w:val="center"/>
          </w:tcPr>
          <w:p w14:paraId="4ED9C99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江西联智集成电路有限公司</w:t>
            </w:r>
          </w:p>
        </w:tc>
        <w:tc>
          <w:tcPr>
            <w:tcW w:w="6257" w:type="dxa"/>
            <w:vMerge w:val="restart"/>
            <w:shd w:val="clear" w:color="auto" w:fill="FFFFFF"/>
            <w:vAlign w:val="center"/>
          </w:tcPr>
          <w:p w14:paraId="1416C98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江西联智集成电路有限公司于 2016 年 8 月 8 日成立于高新区创新一路 59 号，注册资本 5000 万美元，是专业从事模拟及数模混合芯片的研发、测试和销售的台港澳合资企业。总部位于南昌高新区，设有上海、深圳分公司、韩国设计中心，主导产品为电源管理芯片、无线充电芯片、电磁加热控制芯片、一体化融合芯片及功率放大器芯片等，是江西省首家提供高端应用芯片整体解决方案的企业。</w:t>
            </w:r>
          </w:p>
        </w:tc>
        <w:tc>
          <w:tcPr>
            <w:tcW w:w="2764" w:type="dxa"/>
            <w:shd w:val="clear" w:color="auto" w:fill="FFFFFF"/>
            <w:vAlign w:val="center"/>
          </w:tcPr>
          <w:p w14:paraId="493EBBB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软件工程师</w:t>
            </w:r>
          </w:p>
        </w:tc>
        <w:tc>
          <w:tcPr>
            <w:tcW w:w="1768" w:type="dxa"/>
            <w:shd w:val="clear" w:color="auto" w:fill="FFFFFF"/>
            <w:vAlign w:val="center"/>
          </w:tcPr>
          <w:p w14:paraId="06B4AD6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154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9C702FE">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2CA8B3D">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F4C6925">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16A7CF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硬件工程师</w:t>
            </w:r>
          </w:p>
        </w:tc>
        <w:tc>
          <w:tcPr>
            <w:tcW w:w="1768" w:type="dxa"/>
            <w:shd w:val="clear" w:color="auto" w:fill="FFFFFF"/>
            <w:vAlign w:val="center"/>
          </w:tcPr>
          <w:p w14:paraId="7D4814D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98EF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26" w:type="dxa"/>
            <w:vMerge w:val="continue"/>
            <w:shd w:val="clear" w:color="auto" w:fill="FFFFFF"/>
            <w:noWrap/>
            <w:vAlign w:val="center"/>
          </w:tcPr>
          <w:p w14:paraId="37926AF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71F4BAC">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56A6BE3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5DBBDF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数字IC设计工程师</w:t>
            </w:r>
          </w:p>
        </w:tc>
        <w:tc>
          <w:tcPr>
            <w:tcW w:w="1768" w:type="dxa"/>
            <w:shd w:val="clear" w:color="auto" w:fill="FFFFFF"/>
            <w:vAlign w:val="center"/>
          </w:tcPr>
          <w:p w14:paraId="6A14585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8CB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C972D5C">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7EB42432">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5FDD831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FFA8C47">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模拟IC设计工程师</w:t>
            </w:r>
          </w:p>
        </w:tc>
        <w:tc>
          <w:tcPr>
            <w:tcW w:w="1768" w:type="dxa"/>
            <w:shd w:val="clear" w:color="auto" w:fill="FFFFFF"/>
            <w:vAlign w:val="center"/>
          </w:tcPr>
          <w:p w14:paraId="59E45CD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1346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restart"/>
            <w:shd w:val="clear" w:color="auto" w:fill="FFFFFF"/>
            <w:noWrap/>
            <w:vAlign w:val="center"/>
          </w:tcPr>
          <w:p w14:paraId="0FFD505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13</w:t>
            </w:r>
          </w:p>
        </w:tc>
        <w:tc>
          <w:tcPr>
            <w:tcW w:w="2758" w:type="dxa"/>
            <w:vMerge w:val="restart"/>
            <w:shd w:val="clear" w:color="auto" w:fill="FFFFFF"/>
            <w:noWrap/>
            <w:vAlign w:val="center"/>
          </w:tcPr>
          <w:p w14:paraId="0401047D">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南昌高新招商集团有限责任公司</w:t>
            </w:r>
          </w:p>
        </w:tc>
        <w:tc>
          <w:tcPr>
            <w:tcW w:w="6257" w:type="dxa"/>
            <w:vMerge w:val="restart"/>
            <w:shd w:val="clear" w:color="auto" w:fill="FFFFFF"/>
            <w:vAlign w:val="center"/>
          </w:tcPr>
          <w:p w14:paraId="3615D6D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南昌高新招商集团有限责任公司（简称“南昌高新招商集团”）成立于2020年8月，是隶属于南昌国家高新技术产业开发区管委会的大型国有企业，注册资本50亿元，为比照正县级管理单位。集团紧紧围绕“一核三极”战略布局，以打造“高新区产业招商综合服务商”为核心，重点发力“招商投资、项目建设、综合服务”三大业务主线，全面推动“管委会+公司”运营模式，成效显著，多次获得省、市各级领导的充分肯定。</w:t>
            </w:r>
          </w:p>
          <w:p w14:paraId="7EDF24F4">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集团旗下拥有7家一级子公司，构建以南昌高新招商集团为赋能统筹中心，涵盖产业招商投资、城市运营服务、园区建设运营、文旅商融合发展的“1+4”多元化业务体系。</w:t>
            </w:r>
          </w:p>
        </w:tc>
        <w:tc>
          <w:tcPr>
            <w:tcW w:w="2764" w:type="dxa"/>
            <w:shd w:val="clear" w:color="auto" w:fill="FFFFFF"/>
            <w:vAlign w:val="center"/>
          </w:tcPr>
          <w:p w14:paraId="5199AFB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招商投资</w:t>
            </w:r>
            <w:r>
              <w:rPr>
                <w:rFonts w:hint="eastAsia" w:ascii="微软雅黑" w:hAnsi="微软雅黑" w:eastAsia="微软雅黑" w:cs="微软雅黑"/>
                <w:color w:val="000000"/>
                <w:kern w:val="0"/>
                <w:sz w:val="22"/>
                <w:szCs w:val="22"/>
                <w:lang w:bidi="ar"/>
              </w:rPr>
              <w:br w:type="textWrapping"/>
            </w:r>
            <w:r>
              <w:rPr>
                <w:rFonts w:hint="eastAsia" w:ascii="微软雅黑" w:hAnsi="微软雅黑" w:eastAsia="微软雅黑" w:cs="微软雅黑"/>
                <w:color w:val="000000"/>
                <w:kern w:val="0"/>
                <w:sz w:val="22"/>
                <w:szCs w:val="22"/>
                <w:lang w:bidi="ar"/>
              </w:rPr>
              <w:t>（行业研究）</w:t>
            </w:r>
          </w:p>
        </w:tc>
        <w:tc>
          <w:tcPr>
            <w:tcW w:w="1768" w:type="dxa"/>
            <w:shd w:val="clear" w:color="auto" w:fill="FFFFFF"/>
            <w:vAlign w:val="center"/>
          </w:tcPr>
          <w:p w14:paraId="0FF69164">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F13C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5337A138">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830C78D">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26421E0">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67443F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资产运营</w:t>
            </w:r>
          </w:p>
        </w:tc>
        <w:tc>
          <w:tcPr>
            <w:tcW w:w="1768" w:type="dxa"/>
            <w:shd w:val="clear" w:color="auto" w:fill="FFFFFF"/>
            <w:vAlign w:val="center"/>
          </w:tcPr>
          <w:p w14:paraId="655F963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FD7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54F15A47">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4A2129CA">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54CF59C">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477499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工程项目管理</w:t>
            </w:r>
          </w:p>
        </w:tc>
        <w:tc>
          <w:tcPr>
            <w:tcW w:w="1768" w:type="dxa"/>
            <w:shd w:val="clear" w:color="auto" w:fill="FFFFFF"/>
            <w:vAlign w:val="center"/>
          </w:tcPr>
          <w:p w14:paraId="0F4F4A07">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AB20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3E4A0D2B">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9E8134C">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7391AEF">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4CB11E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法务风控</w:t>
            </w:r>
          </w:p>
        </w:tc>
        <w:tc>
          <w:tcPr>
            <w:tcW w:w="1768" w:type="dxa"/>
            <w:shd w:val="clear" w:color="auto" w:fill="FFFFFF"/>
            <w:vAlign w:val="center"/>
          </w:tcPr>
          <w:p w14:paraId="7D798A0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3363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59BA7DCC">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278D638">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50BF1DC0">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EE52ECF">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审计及执纪监督</w:t>
            </w:r>
          </w:p>
        </w:tc>
        <w:tc>
          <w:tcPr>
            <w:tcW w:w="1768" w:type="dxa"/>
            <w:shd w:val="clear" w:color="auto" w:fill="FFFFFF"/>
            <w:vAlign w:val="center"/>
          </w:tcPr>
          <w:p w14:paraId="49418FC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7180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028FFF62">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94506AD">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81DFDE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1A27CB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财会岗</w:t>
            </w:r>
          </w:p>
        </w:tc>
        <w:tc>
          <w:tcPr>
            <w:tcW w:w="1768" w:type="dxa"/>
            <w:shd w:val="clear" w:color="auto" w:fill="FFFFFF"/>
            <w:vAlign w:val="center"/>
          </w:tcPr>
          <w:p w14:paraId="6196F3E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FCDB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70078B05">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6C6D27CA">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29C5CA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339B5EA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融资岗</w:t>
            </w:r>
          </w:p>
        </w:tc>
        <w:tc>
          <w:tcPr>
            <w:tcW w:w="1768" w:type="dxa"/>
            <w:shd w:val="clear" w:color="auto" w:fill="FFFFFF"/>
            <w:vAlign w:val="center"/>
          </w:tcPr>
          <w:p w14:paraId="6A8A899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1059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71451B35">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331AA22">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35880CB">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551A63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管理培训生</w:t>
            </w:r>
          </w:p>
        </w:tc>
        <w:tc>
          <w:tcPr>
            <w:tcW w:w="1768" w:type="dxa"/>
            <w:shd w:val="clear" w:color="auto" w:fill="FFFFFF"/>
            <w:vAlign w:val="center"/>
          </w:tcPr>
          <w:p w14:paraId="78618A5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C80D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5E4EFF14">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79C86AC">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6AE7373E">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433F3FA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项目策划</w:t>
            </w:r>
          </w:p>
        </w:tc>
        <w:tc>
          <w:tcPr>
            <w:tcW w:w="1768" w:type="dxa"/>
            <w:shd w:val="clear" w:color="auto" w:fill="FFFFFF"/>
            <w:vAlign w:val="center"/>
          </w:tcPr>
          <w:p w14:paraId="6C79ECD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35C9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4" w:hRule="atLeast"/>
        </w:trPr>
        <w:tc>
          <w:tcPr>
            <w:tcW w:w="526" w:type="dxa"/>
            <w:vMerge w:val="restart"/>
            <w:shd w:val="clear" w:color="auto" w:fill="FFFFFF"/>
            <w:noWrap/>
            <w:vAlign w:val="center"/>
          </w:tcPr>
          <w:p w14:paraId="16985BB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14</w:t>
            </w:r>
          </w:p>
        </w:tc>
        <w:tc>
          <w:tcPr>
            <w:tcW w:w="2758" w:type="dxa"/>
            <w:vMerge w:val="restart"/>
            <w:shd w:val="clear" w:color="auto" w:fill="FFFFFF"/>
            <w:noWrap/>
            <w:vAlign w:val="center"/>
          </w:tcPr>
          <w:p w14:paraId="6E044CC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南昌市言诺科技有限公司</w:t>
            </w:r>
          </w:p>
        </w:tc>
        <w:tc>
          <w:tcPr>
            <w:tcW w:w="6257" w:type="dxa"/>
            <w:vMerge w:val="restart"/>
            <w:shd w:val="clear" w:color="auto" w:fill="FFFFFF"/>
            <w:vAlign w:val="center"/>
          </w:tcPr>
          <w:p w14:paraId="3603714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南昌市言诺科技有限公司成立于2018年12月，是以人工智能与机器人技术为核心驱动力的国家级高新技术企业，专注实验机器人与教育机器人两大领域的自主研发与产业化应用，为化学医药产业升级与新型工业教育革新提供全流程自动化、智能化产品及解决方案。公司核心团队由顶尖高校的博士、硕士领军，研发实力雄厚。在技术研发方面，构建了一套全链条的自主技术体系，涵盖机器人硬件设计、智能仿真、人工智能等关键技术。高度重视产学研合作，与众多国内一流高校组建联合研发小组。</w:t>
            </w:r>
          </w:p>
          <w:p w14:paraId="3D1E513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公司有良好的抗风险能力和持续发展潜力，目前初步完成京昌宜沪汉五地布局，旗下拥有3家国家高新技术企业、2家国家科技型中小企业、1家省级专精特新企业。</w:t>
            </w:r>
          </w:p>
        </w:tc>
        <w:tc>
          <w:tcPr>
            <w:tcW w:w="2764" w:type="dxa"/>
            <w:shd w:val="clear" w:color="auto" w:fill="FFFFFF"/>
            <w:vAlign w:val="center"/>
          </w:tcPr>
          <w:p w14:paraId="4F1DA3C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计算化学研究员</w:t>
            </w:r>
          </w:p>
          <w:p w14:paraId="3F22225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CV研发工程师</w:t>
            </w:r>
          </w:p>
          <w:p w14:paraId="1B8BBA1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AI算法工程师</w:t>
            </w:r>
          </w:p>
          <w:p w14:paraId="5A6F12C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具身智能研发工程师</w:t>
            </w:r>
          </w:p>
          <w:p w14:paraId="7230DB0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AI4S产品经理/ AI化学产品经理</w:t>
            </w:r>
          </w:p>
          <w:p w14:paraId="57504B6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大模型算法工程师</w:t>
            </w:r>
          </w:p>
          <w:p w14:paraId="3E6890F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国际合作与成果转化专员</w:t>
            </w:r>
          </w:p>
          <w:p w14:paraId="4C8F486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react前端工程师</w:t>
            </w:r>
          </w:p>
        </w:tc>
        <w:tc>
          <w:tcPr>
            <w:tcW w:w="1768" w:type="dxa"/>
            <w:shd w:val="clear" w:color="auto" w:fill="FFFFFF"/>
            <w:vAlign w:val="center"/>
          </w:tcPr>
          <w:p w14:paraId="2FDA438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2CD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restart"/>
            <w:shd w:val="clear" w:color="auto" w:fill="FFFFFF"/>
            <w:noWrap/>
            <w:vAlign w:val="center"/>
          </w:tcPr>
          <w:p w14:paraId="7236DCE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15</w:t>
            </w:r>
          </w:p>
        </w:tc>
        <w:tc>
          <w:tcPr>
            <w:tcW w:w="2758" w:type="dxa"/>
            <w:vMerge w:val="restart"/>
            <w:shd w:val="clear" w:color="auto" w:fill="FFFFFF"/>
            <w:vAlign w:val="center"/>
          </w:tcPr>
          <w:p w14:paraId="3DC51AD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中国江西国际经济技术</w:t>
            </w:r>
            <w:r>
              <w:rPr>
                <w:rFonts w:hint="eastAsia" w:ascii="微软雅黑" w:hAnsi="微软雅黑" w:eastAsia="微软雅黑" w:cs="微软雅黑"/>
                <w:color w:val="000000"/>
                <w:kern w:val="0"/>
                <w:sz w:val="22"/>
                <w:szCs w:val="22"/>
                <w:lang w:bidi="ar"/>
              </w:rPr>
              <w:br w:type="textWrapping"/>
            </w:r>
            <w:r>
              <w:rPr>
                <w:rFonts w:hint="eastAsia" w:ascii="微软雅黑" w:hAnsi="微软雅黑" w:eastAsia="微软雅黑" w:cs="微软雅黑"/>
                <w:color w:val="000000"/>
                <w:kern w:val="0"/>
                <w:sz w:val="22"/>
                <w:szCs w:val="22"/>
                <w:lang w:bidi="ar"/>
              </w:rPr>
              <w:t>合作有限公司</w:t>
            </w:r>
          </w:p>
        </w:tc>
        <w:tc>
          <w:tcPr>
            <w:tcW w:w="6257" w:type="dxa"/>
            <w:vMerge w:val="restart"/>
            <w:shd w:val="clear" w:color="auto" w:fill="FFFFFF"/>
            <w:vAlign w:val="center"/>
          </w:tcPr>
          <w:p w14:paraId="4DA3F92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中国江西国际经济技术合作有限公司(以下简称“江西国际公司”)于1983年经国务院批准成立，是由江西省国资委出资监管的大型国有企业。经过四十多年的发展，公司已成长为一家以国际工程承包、境内外投资为主营业务，集房地产开发、国内建筑、建筑设计、建筑工程勘察设计咨询、矿产资源开发、海外贸易、对外劳务合作，以及承担中国政府对外经济援助项目等为一体的综合性跨国企业。</w:t>
            </w:r>
          </w:p>
          <w:p w14:paraId="26996252">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在国际工程承包领域享有较高的知名度，是中国对外承包工程商会副会长单位、江西省对外投资合作企业协会会长单位、江西国际商会常务副会长单位。公司连续22年入选ENR全球最大250家国际承包商，连续9年稳居全球百强行列，2025年排名全球第71位，在中国企业中位列第16位。</w:t>
            </w:r>
          </w:p>
        </w:tc>
        <w:tc>
          <w:tcPr>
            <w:tcW w:w="2764" w:type="dxa"/>
            <w:shd w:val="clear" w:color="auto" w:fill="FFFFFF"/>
            <w:vAlign w:val="center"/>
          </w:tcPr>
          <w:p w14:paraId="655DBCE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海外工程管理（含管培生）</w:t>
            </w:r>
          </w:p>
        </w:tc>
        <w:tc>
          <w:tcPr>
            <w:tcW w:w="1768" w:type="dxa"/>
            <w:shd w:val="clear" w:color="auto" w:fill="FFFFFF"/>
            <w:vAlign w:val="center"/>
          </w:tcPr>
          <w:p w14:paraId="5823DC74">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江西南昌、海外</w:t>
            </w:r>
          </w:p>
        </w:tc>
      </w:tr>
      <w:tr w14:paraId="28284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43DF95B8">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737F7C9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7CDBE1BB">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A6FAF5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国内工程管理</w:t>
            </w:r>
          </w:p>
        </w:tc>
        <w:tc>
          <w:tcPr>
            <w:tcW w:w="1768" w:type="dxa"/>
            <w:shd w:val="clear" w:color="auto" w:fill="FFFFFF"/>
            <w:vAlign w:val="center"/>
          </w:tcPr>
          <w:p w14:paraId="49A7099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A67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2C3C17A5">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1863EA10">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C17287A">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F78A0C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驻外翻译（含管培生）</w:t>
            </w:r>
          </w:p>
        </w:tc>
        <w:tc>
          <w:tcPr>
            <w:tcW w:w="1768" w:type="dxa"/>
            <w:shd w:val="clear" w:color="auto" w:fill="FFFFFF"/>
            <w:vAlign w:val="center"/>
          </w:tcPr>
          <w:p w14:paraId="41BD68B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江西南昌、海外</w:t>
            </w:r>
          </w:p>
        </w:tc>
      </w:tr>
      <w:tr w14:paraId="52652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18006D0F">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6364900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3F6EDA9">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30822F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驻外会计岗</w:t>
            </w:r>
          </w:p>
        </w:tc>
        <w:tc>
          <w:tcPr>
            <w:tcW w:w="1768" w:type="dxa"/>
            <w:shd w:val="clear" w:color="auto" w:fill="FFFFFF"/>
            <w:vAlign w:val="center"/>
          </w:tcPr>
          <w:p w14:paraId="7A315A6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江西南昌、海外</w:t>
            </w:r>
          </w:p>
        </w:tc>
      </w:tr>
      <w:tr w14:paraId="0E3F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526" w:type="dxa"/>
            <w:vMerge w:val="restart"/>
            <w:shd w:val="clear" w:color="auto" w:fill="FFFFFF"/>
            <w:noWrap/>
            <w:vAlign w:val="center"/>
          </w:tcPr>
          <w:p w14:paraId="0E41EB6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16</w:t>
            </w:r>
          </w:p>
        </w:tc>
        <w:tc>
          <w:tcPr>
            <w:tcW w:w="2758" w:type="dxa"/>
            <w:vMerge w:val="restart"/>
            <w:shd w:val="clear" w:color="auto" w:fill="FFFFFF"/>
            <w:noWrap/>
            <w:vAlign w:val="center"/>
          </w:tcPr>
          <w:p w14:paraId="11F14AA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南昌硬质合金有限责任公司</w:t>
            </w:r>
          </w:p>
        </w:tc>
        <w:tc>
          <w:tcPr>
            <w:tcW w:w="6257" w:type="dxa"/>
            <w:vMerge w:val="restart"/>
            <w:shd w:val="clear" w:color="auto" w:fill="FFFFFF"/>
            <w:vAlign w:val="center"/>
          </w:tcPr>
          <w:p w14:paraId="70C8C56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南昌硬质合金有限责任公司始建于1966年1月，是世界500强企业中国五矿集团有限公司旗下的重要骨干子企业。作为专注于硬质合金研发与制造的高新技术企业，公司技术实力雄厚、行业经验丰富。现已建立省级企业技术中心，并先后获评国家优秀高新技术企业、国家绿色工厂、工信部第四批 “专精特新” 小巨人企业、国家知识产权优势企业及江西出口名牌企业，核心竞争力与综合资质稳居行业前列。在发展过程中，公司始终重视人才成长，致力于为员工搭建广阔的职业发展平台，营造温暖、赋能的成长环境，实现企业与员工的共同发展。</w:t>
            </w:r>
          </w:p>
        </w:tc>
        <w:tc>
          <w:tcPr>
            <w:tcW w:w="2764" w:type="dxa"/>
            <w:shd w:val="clear" w:color="auto" w:fill="FFFFFF"/>
            <w:vAlign w:val="center"/>
          </w:tcPr>
          <w:p w14:paraId="6149BBC2">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研发技术员（研发专家、市场营销方向）</w:t>
            </w:r>
          </w:p>
        </w:tc>
        <w:tc>
          <w:tcPr>
            <w:tcW w:w="1768" w:type="dxa"/>
            <w:shd w:val="clear" w:color="auto" w:fill="FFFFFF"/>
            <w:vAlign w:val="center"/>
          </w:tcPr>
          <w:p w14:paraId="64B4FC4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0E56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2D348C5D">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53F9A566">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B4B1D30">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BAB79D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设备技术员（生产管理方向）</w:t>
            </w:r>
          </w:p>
        </w:tc>
        <w:tc>
          <w:tcPr>
            <w:tcW w:w="1768" w:type="dxa"/>
            <w:shd w:val="clear" w:color="auto" w:fill="FFFFFF"/>
            <w:vAlign w:val="center"/>
          </w:tcPr>
          <w:p w14:paraId="7C6D871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B201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26" w:type="dxa"/>
            <w:vMerge w:val="continue"/>
            <w:shd w:val="clear" w:color="auto" w:fill="FFFFFF"/>
            <w:noWrap/>
            <w:vAlign w:val="center"/>
          </w:tcPr>
          <w:p w14:paraId="4AABE15B">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EF13E2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7EAD6DB">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741643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技能人才（首席技师方向）</w:t>
            </w:r>
          </w:p>
        </w:tc>
        <w:tc>
          <w:tcPr>
            <w:tcW w:w="1768" w:type="dxa"/>
            <w:shd w:val="clear" w:color="auto" w:fill="FFFFFF"/>
            <w:vAlign w:val="center"/>
          </w:tcPr>
          <w:p w14:paraId="42AEE8A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F4A1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0" w:hRule="atLeast"/>
        </w:trPr>
        <w:tc>
          <w:tcPr>
            <w:tcW w:w="526" w:type="dxa"/>
            <w:shd w:val="clear" w:color="auto" w:fill="FFFFFF"/>
            <w:noWrap/>
            <w:vAlign w:val="center"/>
          </w:tcPr>
          <w:p w14:paraId="284C5C9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17</w:t>
            </w:r>
          </w:p>
        </w:tc>
        <w:tc>
          <w:tcPr>
            <w:tcW w:w="2758" w:type="dxa"/>
            <w:shd w:val="clear" w:color="auto" w:fill="FFFFFF"/>
            <w:vAlign w:val="center"/>
          </w:tcPr>
          <w:p w14:paraId="1489588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中国邮政集团有限公司</w:t>
            </w:r>
            <w:r>
              <w:rPr>
                <w:rFonts w:hint="eastAsia" w:ascii="微软雅黑" w:hAnsi="微软雅黑" w:eastAsia="微软雅黑" w:cs="微软雅黑"/>
                <w:color w:val="000000"/>
                <w:kern w:val="0"/>
                <w:sz w:val="22"/>
                <w:szCs w:val="22"/>
                <w:lang w:bidi="ar"/>
              </w:rPr>
              <w:br w:type="textWrapping"/>
            </w:r>
            <w:r>
              <w:rPr>
                <w:rFonts w:hint="eastAsia" w:ascii="微软雅黑" w:hAnsi="微软雅黑" w:eastAsia="微软雅黑" w:cs="微软雅黑"/>
                <w:color w:val="000000"/>
                <w:kern w:val="0"/>
                <w:sz w:val="22"/>
                <w:szCs w:val="22"/>
                <w:lang w:bidi="ar"/>
              </w:rPr>
              <w:t>江西省分公司</w:t>
            </w:r>
          </w:p>
        </w:tc>
        <w:tc>
          <w:tcPr>
            <w:tcW w:w="6257" w:type="dxa"/>
            <w:shd w:val="clear" w:color="auto" w:fill="FFFFFF"/>
            <w:vAlign w:val="center"/>
          </w:tcPr>
          <w:p w14:paraId="741567E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中国邮政集团有限公司江西省分公司是中国邮政集团有限公司的省级分公司，下辖11个市分公司、5个直属单位、97个县（市、区）邮政分公司，全省共1872个邮政支（局）所、1000余个金融网点，10000余人全省邮政从业者。</w:t>
            </w:r>
          </w:p>
          <w:p w14:paraId="743F688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经过多年持续发展，中国邮政集团有限公司已转型升级为业务多元化的大型企业集团，竞争实力稳步增强，企业效益明显提升,社会影响不断扩大。</w:t>
            </w:r>
          </w:p>
        </w:tc>
        <w:tc>
          <w:tcPr>
            <w:tcW w:w="2764" w:type="dxa"/>
            <w:shd w:val="clear" w:color="auto" w:fill="FFFFFF"/>
            <w:vAlign w:val="center"/>
          </w:tcPr>
          <w:p w14:paraId="3F9AB11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省分公司及直属单位：法律事务岗、人力资源管理岗、资金资产与税务管理岗、物流项目经理。</w:t>
            </w:r>
            <w:r>
              <w:rPr>
                <w:rFonts w:hint="eastAsia" w:ascii="微软雅黑" w:hAnsi="微软雅黑" w:eastAsia="微软雅黑" w:cs="微软雅黑"/>
                <w:color w:val="000000"/>
                <w:kern w:val="0"/>
                <w:sz w:val="22"/>
                <w:szCs w:val="22"/>
                <w:lang w:bidi="ar"/>
              </w:rPr>
              <w:br w:type="textWrapping"/>
            </w:r>
            <w:r>
              <w:rPr>
                <w:rFonts w:hint="eastAsia" w:ascii="微软雅黑" w:hAnsi="微软雅黑" w:eastAsia="微软雅黑" w:cs="微软雅黑"/>
                <w:color w:val="000000"/>
                <w:kern w:val="0"/>
                <w:sz w:val="22"/>
                <w:szCs w:val="22"/>
                <w:lang w:bidi="ar"/>
              </w:rPr>
              <w:t>市分公司：金融柜员、市场营销策划岗、数据分析岗、人力资源管理岗、金融产品分析岗、资金资产与税务管理岗、行政事务岗、法律事务岗、网络与系统运维岗、新媒体运营岗、电子商务岗、物流项目经理、基建管理岗。</w:t>
            </w:r>
          </w:p>
        </w:tc>
        <w:tc>
          <w:tcPr>
            <w:tcW w:w="1768" w:type="dxa"/>
            <w:shd w:val="clear" w:color="auto" w:fill="FFFFFF"/>
            <w:vAlign w:val="center"/>
          </w:tcPr>
          <w:p w14:paraId="2C882D9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E1E0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5982C42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18</w:t>
            </w:r>
          </w:p>
        </w:tc>
        <w:tc>
          <w:tcPr>
            <w:tcW w:w="2758" w:type="dxa"/>
            <w:vMerge w:val="restart"/>
            <w:shd w:val="clear" w:color="auto" w:fill="FFFFFF"/>
            <w:vAlign w:val="center"/>
          </w:tcPr>
          <w:p w14:paraId="08AB667C">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江西空中未来科技创新集团有限公司</w:t>
            </w:r>
          </w:p>
        </w:tc>
        <w:tc>
          <w:tcPr>
            <w:tcW w:w="6257" w:type="dxa"/>
            <w:vMerge w:val="restart"/>
            <w:shd w:val="clear" w:color="auto" w:fill="FFFFFF"/>
            <w:vAlign w:val="center"/>
          </w:tcPr>
          <w:p w14:paraId="3287488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空中未来集团是集装备研发制造、设备销售、飞行服务及提供低空应用解决方案的低空经济领域“专精特新”企业。我们以“1+4+X”发展战略，即发展低空经济为核心，协调发展无人机、通用航空、产教融合及低空安全，推动低空经济在不同领域中的深度融合，帮助用户解决问题、创造价值。</w:t>
            </w:r>
          </w:p>
        </w:tc>
        <w:tc>
          <w:tcPr>
            <w:tcW w:w="2764" w:type="dxa"/>
            <w:shd w:val="clear" w:color="auto" w:fill="FFFFFF"/>
            <w:vAlign w:val="center"/>
          </w:tcPr>
          <w:p w14:paraId="0AF59C8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商务经理</w:t>
            </w:r>
          </w:p>
        </w:tc>
        <w:tc>
          <w:tcPr>
            <w:tcW w:w="1768" w:type="dxa"/>
            <w:shd w:val="clear" w:color="auto" w:fill="FFFFFF"/>
            <w:vAlign w:val="center"/>
          </w:tcPr>
          <w:p w14:paraId="0B83108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2D3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20E48A19">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7A92978D">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64CCFE72">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74A4FE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平面设计师</w:t>
            </w:r>
          </w:p>
        </w:tc>
        <w:tc>
          <w:tcPr>
            <w:tcW w:w="1768" w:type="dxa"/>
            <w:shd w:val="clear" w:color="auto" w:fill="FFFFFF"/>
            <w:vAlign w:val="center"/>
          </w:tcPr>
          <w:p w14:paraId="68E9223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46DA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1AED960F">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27A26F21">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D8E08E0">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6CF7429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新媒体运营专员</w:t>
            </w:r>
          </w:p>
        </w:tc>
        <w:tc>
          <w:tcPr>
            <w:tcW w:w="1768" w:type="dxa"/>
            <w:shd w:val="clear" w:color="auto" w:fill="FFFFFF"/>
            <w:vAlign w:val="center"/>
          </w:tcPr>
          <w:p w14:paraId="64C2135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DA88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7E2C46A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19</w:t>
            </w:r>
          </w:p>
        </w:tc>
        <w:tc>
          <w:tcPr>
            <w:tcW w:w="2758" w:type="dxa"/>
            <w:vMerge w:val="restart"/>
            <w:shd w:val="clear" w:color="auto" w:fill="FFFFFF"/>
            <w:noWrap/>
            <w:vAlign w:val="center"/>
          </w:tcPr>
          <w:p w14:paraId="039F9BB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江西乾照光电有限公司</w:t>
            </w:r>
          </w:p>
        </w:tc>
        <w:tc>
          <w:tcPr>
            <w:tcW w:w="6257" w:type="dxa"/>
            <w:vMerge w:val="restart"/>
            <w:shd w:val="clear" w:color="auto" w:fill="FFFFFF"/>
            <w:vAlign w:val="center"/>
          </w:tcPr>
          <w:p w14:paraId="1D245DC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成立于2006年2月，于2010年8月12日正式在深圳证券交易所创业板上市，注册资金90357.9111万元，总部坐落于美丽的厦门，产业化基地分布在厦门、扬州、南昌。公司主要从事全色系超高亮度LED外延片芯片、高性能砷化镓太阳能电池、Mini-LED/Micro-LED以及VCSEL等化合物半导体器件的研发、生产与销售，拥有超过19万平方米的现代化洁净厂房，上万台（套）国际最先进的外延生长和芯片制造等设备。凭借均匀性、一致性、可靠性等综合性能方面的领先优势，多项产品达到国际先进技术水平，成功替代进口，在国内市场享有很高的声誉，已销售到全国二十多个省市，创造了良好的经济效益和社会效益。国际市场已与德国欧司朗、美国达科电子、日本信越、韩国三星、LG等大型知名企业密切配合或已达成战略合作。作为国内首家LED芯片行业自主上市企业、乾照光电是中国LED芯片竞争力十强企业。</w:t>
            </w:r>
          </w:p>
        </w:tc>
        <w:tc>
          <w:tcPr>
            <w:tcW w:w="2764" w:type="dxa"/>
            <w:shd w:val="clear" w:color="auto" w:fill="FFFFFF"/>
            <w:vAlign w:val="center"/>
          </w:tcPr>
          <w:p w14:paraId="172E163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外延研发工程师</w:t>
            </w:r>
          </w:p>
        </w:tc>
        <w:tc>
          <w:tcPr>
            <w:tcW w:w="1768" w:type="dxa"/>
            <w:shd w:val="clear" w:color="auto" w:fill="FFFFFF"/>
            <w:vAlign w:val="center"/>
          </w:tcPr>
          <w:p w14:paraId="5E166EE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823C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5ED245B">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5598B4F0">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5E623B05">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97F14D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芯片研发工程</w:t>
            </w:r>
          </w:p>
        </w:tc>
        <w:tc>
          <w:tcPr>
            <w:tcW w:w="1768" w:type="dxa"/>
            <w:shd w:val="clear" w:color="auto" w:fill="FFFFFF"/>
            <w:vAlign w:val="center"/>
          </w:tcPr>
          <w:p w14:paraId="1B5071A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EE00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107D97CE">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3D3582E4">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8EB427D">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462913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工艺工程师</w:t>
            </w:r>
          </w:p>
        </w:tc>
        <w:tc>
          <w:tcPr>
            <w:tcW w:w="1768" w:type="dxa"/>
            <w:shd w:val="clear" w:color="auto" w:fill="FFFFFF"/>
            <w:vAlign w:val="center"/>
          </w:tcPr>
          <w:p w14:paraId="5469188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F94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3842D1F">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10C3E18B">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45B05ED2">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1A32898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质量工程师</w:t>
            </w:r>
          </w:p>
        </w:tc>
        <w:tc>
          <w:tcPr>
            <w:tcW w:w="1768" w:type="dxa"/>
            <w:shd w:val="clear" w:color="auto" w:fill="FFFFFF"/>
            <w:vAlign w:val="center"/>
          </w:tcPr>
          <w:p w14:paraId="1FD23DA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F424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535F0B4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20</w:t>
            </w:r>
          </w:p>
        </w:tc>
        <w:tc>
          <w:tcPr>
            <w:tcW w:w="2758" w:type="dxa"/>
            <w:vMerge w:val="restart"/>
            <w:shd w:val="clear" w:color="auto" w:fill="FFFFFF"/>
            <w:vAlign w:val="center"/>
          </w:tcPr>
          <w:p w14:paraId="0040D64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中国联合网络通信有限公司江西省分公司</w:t>
            </w:r>
          </w:p>
        </w:tc>
        <w:tc>
          <w:tcPr>
            <w:tcW w:w="6257" w:type="dxa"/>
            <w:vMerge w:val="restart"/>
            <w:shd w:val="clear" w:color="auto" w:fill="FFFFFF"/>
            <w:vAlign w:val="center"/>
          </w:tcPr>
          <w:p w14:paraId="526809D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中国联通江西分公司（以下简称江西联通）是“世界500强企业”—中国联通驻江西分支机构，拥有覆盖全省的本地通信传输网、交换网、数据网和支撑网。作为支撑党政军系统、各行各业、广大人民群众的基础通信企业，在国民经济中具有基础性、支柱性、战略性、先导性的基本功能与地位作用，具有技术密集、全程全网、规模经济、服务经济社会与民生的特征与属性。</w:t>
            </w:r>
          </w:p>
          <w:p w14:paraId="7C4EB74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企业现已形成省、市、县、营服四级管理模式，下设11个地市分公司和102个县区分公司，现有员工近8000人，固定资产投资规模近200亿，服务全省政企客户及广大赣鄱人民。</w:t>
            </w:r>
          </w:p>
        </w:tc>
        <w:tc>
          <w:tcPr>
            <w:tcW w:w="2764" w:type="dxa"/>
            <w:shd w:val="clear" w:color="auto" w:fill="FFFFFF"/>
            <w:vAlign w:val="center"/>
          </w:tcPr>
          <w:p w14:paraId="72DAFBA8">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技术类岗位</w:t>
            </w:r>
          </w:p>
        </w:tc>
        <w:tc>
          <w:tcPr>
            <w:tcW w:w="1768" w:type="dxa"/>
            <w:shd w:val="clear" w:color="auto" w:fill="FFFFFF"/>
            <w:vAlign w:val="center"/>
          </w:tcPr>
          <w:p w14:paraId="55F5517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1E170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DBD9399">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1CD43577">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1413EAD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B247D4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业务类岗位</w:t>
            </w:r>
          </w:p>
        </w:tc>
        <w:tc>
          <w:tcPr>
            <w:tcW w:w="1768" w:type="dxa"/>
            <w:shd w:val="clear" w:color="auto" w:fill="FFFFFF"/>
            <w:vAlign w:val="center"/>
          </w:tcPr>
          <w:p w14:paraId="21E660A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4915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7577A78F">
            <w:pPr>
              <w:jc w:val="center"/>
              <w:rPr>
                <w:rFonts w:hint="eastAsia" w:ascii="微软雅黑" w:hAnsi="微软雅黑" w:eastAsia="微软雅黑" w:cs="微软雅黑"/>
                <w:color w:val="000000"/>
                <w:sz w:val="22"/>
                <w:szCs w:val="22"/>
              </w:rPr>
            </w:pPr>
          </w:p>
        </w:tc>
        <w:tc>
          <w:tcPr>
            <w:tcW w:w="2758" w:type="dxa"/>
            <w:vMerge w:val="continue"/>
            <w:shd w:val="clear" w:color="auto" w:fill="FFFFFF"/>
            <w:vAlign w:val="center"/>
          </w:tcPr>
          <w:p w14:paraId="0A642239">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3E818F31">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B5F244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支撑类岗位</w:t>
            </w:r>
          </w:p>
        </w:tc>
        <w:tc>
          <w:tcPr>
            <w:tcW w:w="1768" w:type="dxa"/>
            <w:shd w:val="clear" w:color="auto" w:fill="FFFFFF"/>
            <w:vAlign w:val="center"/>
          </w:tcPr>
          <w:p w14:paraId="5BFF19E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3601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365781C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21</w:t>
            </w:r>
          </w:p>
        </w:tc>
        <w:tc>
          <w:tcPr>
            <w:tcW w:w="2758" w:type="dxa"/>
            <w:vMerge w:val="restart"/>
            <w:shd w:val="clear" w:color="auto" w:fill="FFFFFF"/>
            <w:noWrap/>
            <w:vAlign w:val="center"/>
          </w:tcPr>
          <w:p w14:paraId="561AFFBE">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联创电子科技股份有限公司</w:t>
            </w:r>
          </w:p>
        </w:tc>
        <w:tc>
          <w:tcPr>
            <w:tcW w:w="6257" w:type="dxa"/>
            <w:vMerge w:val="restart"/>
            <w:shd w:val="clear" w:color="auto" w:fill="FFFFFF"/>
            <w:vAlign w:val="center"/>
          </w:tcPr>
          <w:p w14:paraId="64D2024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联创电子科技股份有限公司成立于2006年，2015年12月在深交所中小板上市（证券代码：002036）</w:t>
            </w:r>
          </w:p>
          <w:p w14:paraId="67AF1B7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公司深耕光学镜头及影像模组、触控显示器件等新型光学光电产业，公司产品广泛应用于智能终端、智能汽车、智慧家庭、智慧城市等领域。</w:t>
            </w:r>
          </w:p>
          <w:p w14:paraId="43BE6A3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十余年来，不断夯实产业基础，持续创新发展，陆续在江西、重庆、郑州、常州、合肥、墨西哥等地建立产业基地。在中国上海、美国湾区、德国汉诺威、韩国首尔等地设立研发运营中心，整合凝聚海内外研发人才，共同推动前沿技术的研发与应用。</w:t>
            </w:r>
          </w:p>
          <w:p w14:paraId="7AFEB29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公司秉承“联合共赢、创新发展”的企业精神，做大做强具有高技术、高附加值的光学、光电核心产业，致力于打造成为世界一流基业长青的光电企业。</w:t>
            </w:r>
          </w:p>
        </w:tc>
        <w:tc>
          <w:tcPr>
            <w:tcW w:w="2764" w:type="dxa"/>
            <w:shd w:val="clear" w:color="auto" w:fill="FFFFFF"/>
            <w:vAlign w:val="center"/>
          </w:tcPr>
          <w:p w14:paraId="18159A61">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光学设计岗</w:t>
            </w:r>
          </w:p>
        </w:tc>
        <w:tc>
          <w:tcPr>
            <w:tcW w:w="1768" w:type="dxa"/>
            <w:shd w:val="clear" w:color="auto" w:fill="FFFFFF"/>
            <w:vAlign w:val="center"/>
          </w:tcPr>
          <w:p w14:paraId="0FD0412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FFEA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7F916A9">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09E72F0F">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050507E1">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D0BE36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结构设计岗</w:t>
            </w:r>
          </w:p>
        </w:tc>
        <w:tc>
          <w:tcPr>
            <w:tcW w:w="1768" w:type="dxa"/>
            <w:shd w:val="clear" w:color="auto" w:fill="FFFFFF"/>
            <w:vAlign w:val="center"/>
          </w:tcPr>
          <w:p w14:paraId="3C1FEE1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958B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7465FC7">
            <w:pPr>
              <w:jc w:val="center"/>
              <w:rPr>
                <w:rFonts w:hint="eastAsia" w:ascii="微软雅黑" w:hAnsi="微软雅黑" w:eastAsia="微软雅黑" w:cs="微软雅黑"/>
                <w:color w:val="000000"/>
                <w:sz w:val="22"/>
                <w:szCs w:val="22"/>
              </w:rPr>
            </w:pPr>
          </w:p>
        </w:tc>
        <w:tc>
          <w:tcPr>
            <w:tcW w:w="2758" w:type="dxa"/>
            <w:vMerge w:val="continue"/>
            <w:shd w:val="clear" w:color="auto" w:fill="FFFFFF"/>
            <w:noWrap/>
            <w:vAlign w:val="center"/>
          </w:tcPr>
          <w:p w14:paraId="41D548FC">
            <w:pPr>
              <w:jc w:val="center"/>
              <w:rPr>
                <w:rFonts w:hint="eastAsia" w:ascii="微软雅黑" w:hAnsi="微软雅黑" w:eastAsia="微软雅黑" w:cs="微软雅黑"/>
                <w:color w:val="000000"/>
                <w:sz w:val="22"/>
                <w:szCs w:val="22"/>
              </w:rPr>
            </w:pPr>
          </w:p>
        </w:tc>
        <w:tc>
          <w:tcPr>
            <w:tcW w:w="6257" w:type="dxa"/>
            <w:vMerge w:val="continue"/>
            <w:shd w:val="clear" w:color="auto" w:fill="FFFFFF"/>
            <w:vAlign w:val="center"/>
          </w:tcPr>
          <w:p w14:paraId="2E5DB06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B455CD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软件开发岗</w:t>
            </w:r>
          </w:p>
        </w:tc>
        <w:tc>
          <w:tcPr>
            <w:tcW w:w="1768" w:type="dxa"/>
            <w:shd w:val="clear" w:color="auto" w:fill="FFFFFF"/>
            <w:vAlign w:val="center"/>
          </w:tcPr>
          <w:p w14:paraId="0F07CD3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07B1F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shd w:val="clear" w:color="auto" w:fill="FFFFFF"/>
            <w:noWrap/>
            <w:vAlign w:val="center"/>
          </w:tcPr>
          <w:p w14:paraId="1B41BA35">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22</w:t>
            </w:r>
          </w:p>
        </w:tc>
        <w:tc>
          <w:tcPr>
            <w:tcW w:w="2758" w:type="dxa"/>
            <w:shd w:val="clear" w:color="auto" w:fill="FFFFFF"/>
            <w:noWrap/>
            <w:vAlign w:val="center"/>
          </w:tcPr>
          <w:p w14:paraId="439137DB">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北方联创通信有限公司</w:t>
            </w:r>
          </w:p>
        </w:tc>
        <w:tc>
          <w:tcPr>
            <w:tcW w:w="6257" w:type="dxa"/>
            <w:shd w:val="clear" w:color="auto" w:fill="FFFFFF"/>
            <w:noWrap/>
            <w:vAlign w:val="center"/>
          </w:tcPr>
          <w:p w14:paraId="351893AB">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北方联创通信有限公司（国营第八三四厂）1964年成立，位于江西南昌高新区，隶属于军工央企—中国兵器工业集团有限公司，主要从事军用信息系统、指控专用软件、武器装备综合保障、军贸出口配套装备、军民融合专网通信系统等产品的研发制造。公司现有员工600余人，科研人员230余人，具有中高级职称人员200余人，获国家级“百千万人才”、省级“百千万人才”、省市高层次人才、市“211”人才、市政府特殊津贴和中国兵器工业集团高层次人才20余人。</w:t>
            </w:r>
          </w:p>
          <w:p w14:paraId="0AE5C91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公司建有省级工程技术研究中心、省级企业技术中心、博士科研创新中心、技能大师工作室等，被认定为国家高新技术企业、省优秀高新技术企业、高校毕业生集聚企业等；百余项产品获得国家级、省部级、军队的表彰和奖励，并多次受邀参加国防装备展、纪念中国人民抗日战争暨反法西斯战争胜利阅兵和中国人民解放军阅兵演习等重大活动。</w:t>
            </w:r>
          </w:p>
        </w:tc>
        <w:tc>
          <w:tcPr>
            <w:tcW w:w="2764" w:type="dxa"/>
            <w:shd w:val="clear" w:color="auto" w:fill="FFFFFF"/>
            <w:noWrap/>
            <w:vAlign w:val="center"/>
          </w:tcPr>
          <w:p w14:paraId="2C5F184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前端开发工程师</w:t>
            </w:r>
          </w:p>
          <w:p w14:paraId="5733D8E6">
            <w:pPr>
              <w:widowControl/>
              <w:jc w:val="center"/>
              <w:textAlignment w:val="center"/>
              <w:rPr>
                <w:rFonts w:hint="eastAsia" w:ascii="微软雅黑" w:hAnsi="微软雅黑" w:eastAsia="微软雅黑" w:cs="微软雅黑"/>
                <w:color w:val="000000"/>
                <w:kern w:val="0"/>
                <w:sz w:val="22"/>
                <w:szCs w:val="22"/>
                <w:lang w:bidi="ar"/>
              </w:rPr>
            </w:pPr>
            <w:r>
              <w:rPr>
                <w:rFonts w:ascii="微软雅黑" w:hAnsi="微软雅黑" w:eastAsia="微软雅黑" w:cs="微软雅黑"/>
                <w:color w:val="000000"/>
                <w:kern w:val="0"/>
                <w:sz w:val="22"/>
                <w:szCs w:val="22"/>
                <w:lang w:bidi="ar"/>
              </w:rPr>
              <w:t>后端开发工程师</w:t>
            </w:r>
          </w:p>
          <w:p w14:paraId="7B14DFB8">
            <w:pPr>
              <w:widowControl/>
              <w:jc w:val="center"/>
              <w:textAlignment w:val="center"/>
              <w:rPr>
                <w:rFonts w:hint="eastAsia" w:ascii="微软雅黑" w:hAnsi="微软雅黑" w:eastAsia="微软雅黑" w:cs="微软雅黑"/>
                <w:color w:val="000000"/>
                <w:kern w:val="0"/>
                <w:sz w:val="22"/>
                <w:szCs w:val="22"/>
                <w:lang w:bidi="ar"/>
              </w:rPr>
            </w:pPr>
            <w:r>
              <w:rPr>
                <w:rFonts w:ascii="微软雅黑" w:hAnsi="微软雅黑" w:eastAsia="微软雅黑" w:cs="微软雅黑"/>
                <w:color w:val="000000"/>
                <w:kern w:val="0"/>
                <w:sz w:val="22"/>
                <w:szCs w:val="22"/>
                <w:lang w:bidi="ar"/>
              </w:rPr>
              <w:t>算法工程师</w:t>
            </w:r>
          </w:p>
          <w:p w14:paraId="6AD792D2">
            <w:pPr>
              <w:widowControl/>
              <w:jc w:val="center"/>
              <w:textAlignment w:val="center"/>
              <w:rPr>
                <w:rFonts w:hint="eastAsia" w:ascii="微软雅黑" w:hAnsi="微软雅黑" w:eastAsia="微软雅黑" w:cs="微软雅黑"/>
                <w:color w:val="000000"/>
                <w:kern w:val="0"/>
                <w:sz w:val="22"/>
                <w:szCs w:val="22"/>
                <w:lang w:bidi="ar"/>
              </w:rPr>
            </w:pPr>
            <w:r>
              <w:rPr>
                <w:rFonts w:ascii="微软雅黑" w:hAnsi="微软雅黑" w:eastAsia="微软雅黑" w:cs="微软雅黑"/>
                <w:color w:val="000000"/>
                <w:kern w:val="0"/>
                <w:sz w:val="22"/>
                <w:szCs w:val="22"/>
                <w:lang w:bidi="ar"/>
              </w:rPr>
              <w:t>嵌入式软件工程师</w:t>
            </w:r>
          </w:p>
          <w:p w14:paraId="6B288197">
            <w:pPr>
              <w:widowControl/>
              <w:jc w:val="center"/>
              <w:textAlignment w:val="center"/>
              <w:rPr>
                <w:rFonts w:hint="eastAsia" w:ascii="微软雅黑" w:hAnsi="微软雅黑" w:eastAsia="微软雅黑" w:cs="微软雅黑"/>
                <w:color w:val="000000"/>
                <w:kern w:val="0"/>
                <w:sz w:val="22"/>
                <w:szCs w:val="22"/>
                <w:lang w:bidi="ar"/>
              </w:rPr>
            </w:pPr>
            <w:r>
              <w:rPr>
                <w:rFonts w:ascii="微软雅黑" w:hAnsi="微软雅黑" w:eastAsia="微软雅黑" w:cs="微软雅黑"/>
                <w:color w:val="000000"/>
                <w:kern w:val="0"/>
                <w:sz w:val="22"/>
                <w:szCs w:val="22"/>
                <w:lang w:bidi="ar"/>
              </w:rPr>
              <w:t>FPGA工程师</w:t>
            </w:r>
          </w:p>
        </w:tc>
        <w:tc>
          <w:tcPr>
            <w:tcW w:w="1768" w:type="dxa"/>
            <w:shd w:val="clear" w:color="auto" w:fill="FFFFFF"/>
            <w:noWrap/>
            <w:vAlign w:val="center"/>
          </w:tcPr>
          <w:p w14:paraId="0C006F1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236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5079BF63">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23</w:t>
            </w:r>
          </w:p>
        </w:tc>
        <w:tc>
          <w:tcPr>
            <w:tcW w:w="2758" w:type="dxa"/>
            <w:vMerge w:val="restart"/>
            <w:shd w:val="clear" w:color="auto" w:fill="FFFFFF"/>
            <w:noWrap/>
            <w:vAlign w:val="center"/>
          </w:tcPr>
          <w:p w14:paraId="69B02B3A">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江西国泰集团股份有限公司</w:t>
            </w:r>
          </w:p>
        </w:tc>
        <w:tc>
          <w:tcPr>
            <w:tcW w:w="6257" w:type="dxa"/>
            <w:vMerge w:val="restart"/>
            <w:shd w:val="clear" w:color="auto" w:fill="FFFFFF"/>
            <w:vAlign w:val="center"/>
          </w:tcPr>
          <w:p w14:paraId="2677505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国泰集团股份有限公司（简称“国泰集团”）成立于2006年12月，是江西省国资委出资监管上市企业。公司核心业务主要涵盖民爆、轨交自动化及信息化、军工新材料、矿山及矿山智慧物流、稀有金属冶炼五大产业板块。民爆产业整体实力位列全国民爆行业前列，信息化产业-党建信息化全国领先，轨交电力控制系统全国前三。公司是首批国民经济动员中心，工信部智能制造试点示范企业，两化融合管理体系贯标试点企业，26家主要下属单位均为高新技术企业，旗下新余国泰是国务院国资委“科改示范企业”，国泰工业互联网平台成功入选国家级“双跨”工业互联网平台；建有博士后科研工作站、省级工程技术研究中心、省级企业技术中心等科研创新平台。</w:t>
            </w:r>
          </w:p>
        </w:tc>
        <w:tc>
          <w:tcPr>
            <w:tcW w:w="2764" w:type="dxa"/>
            <w:shd w:val="clear" w:color="auto" w:fill="FFFFFF"/>
            <w:vAlign w:val="center"/>
          </w:tcPr>
          <w:p w14:paraId="4A523EF9">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lang w:bidi="ar"/>
              </w:rPr>
              <w:t>系统架构师</w:t>
            </w:r>
          </w:p>
        </w:tc>
        <w:tc>
          <w:tcPr>
            <w:tcW w:w="1768" w:type="dxa"/>
            <w:shd w:val="clear" w:color="auto" w:fill="FFFFFF"/>
            <w:vAlign w:val="center"/>
          </w:tcPr>
          <w:p w14:paraId="5046ABB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F67E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4B69D937">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36BEF0B7">
            <w:pPr>
              <w:widowControl/>
              <w:jc w:val="center"/>
              <w:textAlignment w:val="center"/>
              <w:rPr>
                <w:rFonts w:hint="eastAsia" w:ascii="微软雅黑" w:hAnsi="微软雅黑" w:eastAsia="微软雅黑" w:cs="微软雅黑"/>
                <w:color w:val="000000"/>
                <w:kern w:val="0"/>
                <w:sz w:val="22"/>
                <w:szCs w:val="22"/>
                <w:lang w:bidi="ar"/>
              </w:rPr>
            </w:pPr>
          </w:p>
        </w:tc>
        <w:tc>
          <w:tcPr>
            <w:tcW w:w="6257" w:type="dxa"/>
            <w:vMerge w:val="continue"/>
            <w:shd w:val="clear" w:color="auto" w:fill="FFFFFF"/>
            <w:vAlign w:val="center"/>
          </w:tcPr>
          <w:p w14:paraId="56257F3C">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778F0A1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子公司综合管理岗</w:t>
            </w:r>
          </w:p>
        </w:tc>
        <w:tc>
          <w:tcPr>
            <w:tcW w:w="1768" w:type="dxa"/>
            <w:shd w:val="clear" w:color="auto" w:fill="FFFFFF"/>
            <w:vAlign w:val="center"/>
          </w:tcPr>
          <w:p w14:paraId="4582363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CDBD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3F89028E">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0633D0CA">
            <w:pPr>
              <w:widowControl/>
              <w:jc w:val="center"/>
              <w:textAlignment w:val="center"/>
              <w:rPr>
                <w:rFonts w:hint="eastAsia" w:ascii="微软雅黑" w:hAnsi="微软雅黑" w:eastAsia="微软雅黑" w:cs="微软雅黑"/>
                <w:color w:val="000000"/>
                <w:kern w:val="0"/>
                <w:sz w:val="22"/>
                <w:szCs w:val="22"/>
                <w:lang w:bidi="ar"/>
              </w:rPr>
            </w:pPr>
          </w:p>
        </w:tc>
        <w:tc>
          <w:tcPr>
            <w:tcW w:w="6257" w:type="dxa"/>
            <w:vMerge w:val="continue"/>
            <w:shd w:val="clear" w:color="auto" w:fill="FFFFFF"/>
            <w:vAlign w:val="center"/>
          </w:tcPr>
          <w:p w14:paraId="0CDD88A3">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29CF91F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子公司财务岗</w:t>
            </w:r>
          </w:p>
        </w:tc>
        <w:tc>
          <w:tcPr>
            <w:tcW w:w="1768" w:type="dxa"/>
            <w:shd w:val="clear" w:color="auto" w:fill="FFFFFF"/>
            <w:vAlign w:val="center"/>
          </w:tcPr>
          <w:p w14:paraId="1B202FF0">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2FA3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8DF0833">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7F4A6FF4">
            <w:pPr>
              <w:widowControl/>
              <w:jc w:val="center"/>
              <w:textAlignment w:val="center"/>
              <w:rPr>
                <w:rFonts w:hint="eastAsia" w:ascii="微软雅黑" w:hAnsi="微软雅黑" w:eastAsia="微软雅黑" w:cs="微软雅黑"/>
                <w:color w:val="000000"/>
                <w:kern w:val="0"/>
                <w:sz w:val="22"/>
                <w:szCs w:val="22"/>
                <w:lang w:bidi="ar"/>
              </w:rPr>
            </w:pPr>
          </w:p>
        </w:tc>
        <w:tc>
          <w:tcPr>
            <w:tcW w:w="6257" w:type="dxa"/>
            <w:vMerge w:val="continue"/>
            <w:shd w:val="clear" w:color="auto" w:fill="FFFFFF"/>
            <w:vAlign w:val="center"/>
          </w:tcPr>
          <w:p w14:paraId="65B5E54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0E2944D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子公司化工技术员</w:t>
            </w:r>
          </w:p>
        </w:tc>
        <w:tc>
          <w:tcPr>
            <w:tcW w:w="1768" w:type="dxa"/>
            <w:shd w:val="clear" w:color="auto" w:fill="FFFFFF"/>
            <w:vAlign w:val="center"/>
          </w:tcPr>
          <w:p w14:paraId="60428521">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7588C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407D676">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3BBB29EF">
            <w:pPr>
              <w:widowControl/>
              <w:jc w:val="center"/>
              <w:textAlignment w:val="center"/>
              <w:rPr>
                <w:rFonts w:hint="eastAsia" w:ascii="微软雅黑" w:hAnsi="微软雅黑" w:eastAsia="微软雅黑" w:cs="微软雅黑"/>
                <w:color w:val="000000"/>
                <w:kern w:val="0"/>
                <w:sz w:val="22"/>
                <w:szCs w:val="22"/>
                <w:lang w:bidi="ar"/>
              </w:rPr>
            </w:pPr>
          </w:p>
        </w:tc>
        <w:tc>
          <w:tcPr>
            <w:tcW w:w="6257" w:type="dxa"/>
            <w:vMerge w:val="continue"/>
            <w:shd w:val="clear" w:color="auto" w:fill="FFFFFF"/>
            <w:vAlign w:val="center"/>
          </w:tcPr>
          <w:p w14:paraId="16449117">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vAlign w:val="center"/>
          </w:tcPr>
          <w:p w14:paraId="5F7EDBF9">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子公司设备技术员</w:t>
            </w:r>
          </w:p>
        </w:tc>
        <w:tc>
          <w:tcPr>
            <w:tcW w:w="1768" w:type="dxa"/>
            <w:shd w:val="clear" w:color="auto" w:fill="FFFFFF"/>
            <w:vAlign w:val="center"/>
          </w:tcPr>
          <w:p w14:paraId="20C9B746">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F454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restart"/>
            <w:shd w:val="clear" w:color="auto" w:fill="FFFFFF"/>
            <w:noWrap/>
            <w:vAlign w:val="center"/>
          </w:tcPr>
          <w:p w14:paraId="1C4AFA80">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sz w:val="22"/>
                <w:szCs w:val="22"/>
              </w:rPr>
              <w:t>24</w:t>
            </w:r>
          </w:p>
        </w:tc>
        <w:tc>
          <w:tcPr>
            <w:tcW w:w="2758" w:type="dxa"/>
            <w:vMerge w:val="restart"/>
            <w:shd w:val="clear" w:color="auto" w:fill="FFFFFF"/>
            <w:noWrap/>
            <w:vAlign w:val="center"/>
          </w:tcPr>
          <w:p w14:paraId="0378C4C4">
            <w:pPr>
              <w:widowControl/>
              <w:jc w:val="center"/>
              <w:textAlignment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sz w:val="22"/>
                <w:szCs w:val="22"/>
              </w:rPr>
              <w:t>双胞胎(集团)股份有限公司</w:t>
            </w:r>
          </w:p>
        </w:tc>
        <w:tc>
          <w:tcPr>
            <w:tcW w:w="6257" w:type="dxa"/>
            <w:vMerge w:val="restart"/>
            <w:shd w:val="clear" w:color="auto" w:fill="FFFFFF"/>
            <w:noWrap/>
            <w:vAlign w:val="center"/>
          </w:tcPr>
          <w:p w14:paraId="4B213286">
            <w:pPr>
              <w:widowControl/>
              <w:jc w:val="center"/>
              <w:textAlignment w:val="center"/>
              <w:rPr>
                <w:rFonts w:hint="eastAsia" w:ascii="微软雅黑" w:hAnsi="微软雅黑" w:eastAsia="微软雅黑" w:cs="微软雅黑"/>
                <w:color w:val="000000"/>
                <w:kern w:val="0"/>
                <w:sz w:val="22"/>
                <w:szCs w:val="22"/>
                <w:lang w:bidi="ar"/>
              </w:rPr>
            </w:pPr>
            <w:r>
              <w:rPr>
                <w:rFonts w:ascii="微软雅黑" w:hAnsi="微软雅黑" w:eastAsia="微软雅黑" w:cs="微软雅黑"/>
                <w:color w:val="000000"/>
                <w:kern w:val="0"/>
                <w:sz w:val="22"/>
                <w:szCs w:val="22"/>
                <w:lang w:bidi="ar"/>
              </w:rPr>
              <w:t>双胞胎集团成立于1998年，是一家专业从事生猪养殖、养猪服务、饲料制造、兽药疫苗、粮食收储与贸易、生猪屠宰与肉食品深加工为一体的全国性大型企业集团，集团下设分公司900余家，员工人数3万人。2024年集团饲料销量达1550万吨，猪饲料外销全球销量第一；生猪上市1778万头，营业收入1038.68亿元，是中国企业500强，农业产业化国家重点龙头企业。</w:t>
            </w:r>
          </w:p>
        </w:tc>
        <w:tc>
          <w:tcPr>
            <w:tcW w:w="2764" w:type="dxa"/>
            <w:shd w:val="clear" w:color="auto" w:fill="FFFFFF"/>
            <w:noWrap/>
            <w:vAlign w:val="center"/>
          </w:tcPr>
          <w:p w14:paraId="539C15A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采购管理岗</w:t>
            </w:r>
          </w:p>
        </w:tc>
        <w:tc>
          <w:tcPr>
            <w:tcW w:w="1768" w:type="dxa"/>
            <w:shd w:val="clear" w:color="auto" w:fill="FFFFFF"/>
            <w:noWrap/>
            <w:vAlign w:val="center"/>
          </w:tcPr>
          <w:p w14:paraId="25F83CE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3B594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5FACB67E">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7FE1DE41">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noWrap/>
            <w:vAlign w:val="center"/>
          </w:tcPr>
          <w:p w14:paraId="171865B1">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noWrap/>
            <w:vAlign w:val="center"/>
          </w:tcPr>
          <w:p w14:paraId="1E01F75E">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物流管理岗</w:t>
            </w:r>
          </w:p>
        </w:tc>
        <w:tc>
          <w:tcPr>
            <w:tcW w:w="1768" w:type="dxa"/>
            <w:shd w:val="clear" w:color="auto" w:fill="FFFFFF"/>
            <w:noWrap/>
            <w:vAlign w:val="center"/>
          </w:tcPr>
          <w:p w14:paraId="4C7B903D">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23C97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6BBBEB8D">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23486228">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noWrap/>
            <w:vAlign w:val="center"/>
          </w:tcPr>
          <w:p w14:paraId="2AEA5B98">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noWrap/>
            <w:vAlign w:val="center"/>
          </w:tcPr>
          <w:p w14:paraId="7BC89F7F">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建筑工程岗</w:t>
            </w:r>
          </w:p>
        </w:tc>
        <w:tc>
          <w:tcPr>
            <w:tcW w:w="1768" w:type="dxa"/>
            <w:shd w:val="clear" w:color="auto" w:fill="FFFFFF"/>
            <w:noWrap/>
            <w:vAlign w:val="center"/>
          </w:tcPr>
          <w:p w14:paraId="5A9BBDB3">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5358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22306F5">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14CE914A">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noWrap/>
            <w:vAlign w:val="center"/>
          </w:tcPr>
          <w:p w14:paraId="53A884C6">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noWrap/>
            <w:vAlign w:val="center"/>
          </w:tcPr>
          <w:p w14:paraId="02FA75F4">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财经岗</w:t>
            </w:r>
          </w:p>
        </w:tc>
        <w:tc>
          <w:tcPr>
            <w:tcW w:w="1768" w:type="dxa"/>
            <w:shd w:val="clear" w:color="auto" w:fill="FFFFFF"/>
            <w:noWrap/>
            <w:vAlign w:val="center"/>
          </w:tcPr>
          <w:p w14:paraId="5D8BB2D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4CED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055EA11D">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1A578C03">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noWrap/>
            <w:vAlign w:val="center"/>
          </w:tcPr>
          <w:p w14:paraId="2BA30497">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noWrap/>
            <w:vAlign w:val="center"/>
          </w:tcPr>
          <w:p w14:paraId="27F3E2DC">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人力资源岗</w:t>
            </w:r>
          </w:p>
        </w:tc>
        <w:tc>
          <w:tcPr>
            <w:tcW w:w="1768" w:type="dxa"/>
            <w:shd w:val="clear" w:color="auto" w:fill="FFFFFF"/>
            <w:noWrap/>
            <w:vAlign w:val="center"/>
          </w:tcPr>
          <w:p w14:paraId="5252C8C5">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r w14:paraId="6066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26" w:type="dxa"/>
            <w:vMerge w:val="continue"/>
            <w:shd w:val="clear" w:color="auto" w:fill="FFFFFF"/>
            <w:noWrap/>
            <w:vAlign w:val="center"/>
          </w:tcPr>
          <w:p w14:paraId="3C08750A">
            <w:pPr>
              <w:widowControl/>
              <w:jc w:val="center"/>
              <w:textAlignment w:val="center"/>
              <w:rPr>
                <w:rFonts w:hint="eastAsia" w:ascii="微软雅黑" w:hAnsi="微软雅黑" w:eastAsia="微软雅黑" w:cs="微软雅黑"/>
                <w:color w:val="000000"/>
                <w:kern w:val="0"/>
                <w:sz w:val="22"/>
                <w:szCs w:val="22"/>
                <w:lang w:bidi="ar"/>
              </w:rPr>
            </w:pPr>
          </w:p>
        </w:tc>
        <w:tc>
          <w:tcPr>
            <w:tcW w:w="2758" w:type="dxa"/>
            <w:vMerge w:val="continue"/>
            <w:shd w:val="clear" w:color="auto" w:fill="FFFFFF"/>
            <w:noWrap/>
            <w:vAlign w:val="center"/>
          </w:tcPr>
          <w:p w14:paraId="2B7EDFB8">
            <w:pPr>
              <w:widowControl/>
              <w:jc w:val="center"/>
              <w:textAlignment w:val="center"/>
              <w:rPr>
                <w:rFonts w:hint="eastAsia" w:ascii="微软雅黑" w:hAnsi="微软雅黑" w:eastAsia="微软雅黑" w:cs="微软雅黑"/>
                <w:color w:val="000000"/>
                <w:sz w:val="22"/>
                <w:szCs w:val="22"/>
              </w:rPr>
            </w:pPr>
          </w:p>
        </w:tc>
        <w:tc>
          <w:tcPr>
            <w:tcW w:w="6257" w:type="dxa"/>
            <w:vMerge w:val="continue"/>
            <w:shd w:val="clear" w:color="auto" w:fill="FFFFFF"/>
            <w:noWrap/>
            <w:vAlign w:val="center"/>
          </w:tcPr>
          <w:p w14:paraId="3D595C94">
            <w:pPr>
              <w:widowControl/>
              <w:jc w:val="center"/>
              <w:textAlignment w:val="center"/>
              <w:rPr>
                <w:rFonts w:hint="eastAsia" w:ascii="微软雅黑" w:hAnsi="微软雅黑" w:eastAsia="微软雅黑" w:cs="微软雅黑"/>
                <w:color w:val="000000"/>
                <w:kern w:val="0"/>
                <w:sz w:val="22"/>
                <w:szCs w:val="22"/>
                <w:lang w:bidi="ar"/>
              </w:rPr>
            </w:pPr>
          </w:p>
        </w:tc>
        <w:tc>
          <w:tcPr>
            <w:tcW w:w="2764" w:type="dxa"/>
            <w:shd w:val="clear" w:color="auto" w:fill="FFFFFF"/>
            <w:noWrap/>
            <w:vAlign w:val="center"/>
          </w:tcPr>
          <w:p w14:paraId="28415F3A">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营销工程师</w:t>
            </w:r>
          </w:p>
        </w:tc>
        <w:tc>
          <w:tcPr>
            <w:tcW w:w="1768" w:type="dxa"/>
            <w:shd w:val="clear" w:color="auto" w:fill="FFFFFF"/>
            <w:noWrap/>
            <w:vAlign w:val="center"/>
          </w:tcPr>
          <w:p w14:paraId="6EEEF628">
            <w:pPr>
              <w:widowControl/>
              <w:jc w:val="center"/>
              <w:textAlignment w:val="center"/>
              <w:rPr>
                <w:rFonts w:hint="eastAsia" w:ascii="微软雅黑" w:hAnsi="微软雅黑" w:eastAsia="微软雅黑" w:cs="微软雅黑"/>
                <w:color w:val="000000"/>
                <w:kern w:val="0"/>
                <w:sz w:val="22"/>
                <w:szCs w:val="22"/>
                <w:lang w:bidi="ar"/>
              </w:rPr>
            </w:pPr>
            <w:r>
              <w:rPr>
                <w:rFonts w:hint="eastAsia" w:ascii="微软雅黑" w:hAnsi="微软雅黑" w:eastAsia="微软雅黑" w:cs="微软雅黑"/>
                <w:color w:val="000000"/>
                <w:kern w:val="0"/>
                <w:sz w:val="22"/>
                <w:szCs w:val="22"/>
                <w:lang w:bidi="ar"/>
              </w:rPr>
              <w:t>江西南昌</w:t>
            </w:r>
          </w:p>
        </w:tc>
      </w:tr>
    </w:tbl>
    <w:p w14:paraId="4D715E8D">
      <w:pPr>
        <w:widowControl/>
        <w:textAlignment w:val="center"/>
        <w:rPr>
          <w:rFonts w:hint="eastAsia" w:ascii="微软雅黑" w:hAnsi="微软雅黑" w:eastAsia="微软雅黑" w:cs="微软雅黑"/>
          <w:color w:val="000000"/>
          <w:kern w:val="0"/>
          <w:sz w:val="22"/>
          <w:szCs w:val="22"/>
          <w:lang w:bidi="ar"/>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485"/>
    <w:rsid w:val="008C329E"/>
    <w:rsid w:val="00CF2485"/>
    <w:rsid w:val="00DD1BD5"/>
    <w:rsid w:val="00FC6454"/>
    <w:rsid w:val="01DB7ED5"/>
    <w:rsid w:val="02447828"/>
    <w:rsid w:val="044C330C"/>
    <w:rsid w:val="06B56F46"/>
    <w:rsid w:val="071E0F8F"/>
    <w:rsid w:val="092E2FE0"/>
    <w:rsid w:val="09864BCA"/>
    <w:rsid w:val="148606D0"/>
    <w:rsid w:val="1B662AAD"/>
    <w:rsid w:val="1D8A4831"/>
    <w:rsid w:val="21CD1190"/>
    <w:rsid w:val="261268E5"/>
    <w:rsid w:val="264D0AF2"/>
    <w:rsid w:val="2A6B1546"/>
    <w:rsid w:val="2A7D127A"/>
    <w:rsid w:val="3DD86A9B"/>
    <w:rsid w:val="452A479F"/>
    <w:rsid w:val="5737608F"/>
    <w:rsid w:val="58C47EF0"/>
    <w:rsid w:val="5DA909EB"/>
    <w:rsid w:val="6C38797B"/>
    <w:rsid w:val="70C83C17"/>
    <w:rsid w:val="765331AF"/>
    <w:rsid w:val="78CC6E89"/>
    <w:rsid w:val="7F4B1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2"/>
    <w:qFormat/>
    <w:uiPriority w:val="9"/>
    <w:pPr>
      <w:keepNext/>
      <w:keepLines/>
      <w:spacing w:before="480" w:after="80" w:line="278" w:lineRule="auto"/>
      <w:jc w:val="left"/>
      <w:outlineLvl w:val="0"/>
    </w:pPr>
    <w:rPr>
      <w:rFonts w:ascii="等线 Light" w:hAnsi="等线 Light" w:eastAsia="等线 Light" w:cs="宋体"/>
      <w:color w:val="0F4761"/>
      <w:sz w:val="48"/>
      <w:szCs w:val="48"/>
      <w14:ligatures w14:val="standardContextual"/>
    </w:rPr>
  </w:style>
  <w:style w:type="paragraph" w:styleId="3">
    <w:name w:val="heading 2"/>
    <w:basedOn w:val="1"/>
    <w:next w:val="1"/>
    <w:link w:val="23"/>
    <w:qFormat/>
    <w:uiPriority w:val="9"/>
    <w:pPr>
      <w:keepNext/>
      <w:keepLines/>
      <w:spacing w:before="160" w:after="80" w:line="278" w:lineRule="auto"/>
      <w:jc w:val="left"/>
      <w:outlineLvl w:val="1"/>
    </w:pPr>
    <w:rPr>
      <w:rFonts w:ascii="等线 Light" w:hAnsi="等线 Light" w:eastAsia="等线 Light" w:cs="宋体"/>
      <w:color w:val="0F4761"/>
      <w:sz w:val="40"/>
      <w:szCs w:val="40"/>
      <w14:ligatures w14:val="standardContextual"/>
    </w:rPr>
  </w:style>
  <w:style w:type="paragraph" w:styleId="4">
    <w:name w:val="heading 3"/>
    <w:basedOn w:val="1"/>
    <w:next w:val="1"/>
    <w:link w:val="24"/>
    <w:qFormat/>
    <w:uiPriority w:val="0"/>
    <w:pPr>
      <w:keepNext/>
      <w:keepLines/>
      <w:spacing w:before="160" w:after="80" w:line="278" w:lineRule="auto"/>
      <w:jc w:val="left"/>
      <w:outlineLvl w:val="2"/>
    </w:pPr>
    <w:rPr>
      <w:rFonts w:ascii="等线 Light" w:hAnsi="等线 Light" w:eastAsia="等线 Light" w:cs="宋体"/>
      <w:color w:val="0F4761"/>
      <w:sz w:val="32"/>
      <w:szCs w:val="32"/>
      <w14:ligatures w14:val="standardContextual"/>
    </w:rPr>
  </w:style>
  <w:style w:type="paragraph" w:styleId="5">
    <w:name w:val="heading 4"/>
    <w:basedOn w:val="1"/>
    <w:next w:val="1"/>
    <w:link w:val="25"/>
    <w:qFormat/>
    <w:uiPriority w:val="9"/>
    <w:pPr>
      <w:keepNext/>
      <w:keepLines/>
      <w:spacing w:before="80" w:after="40" w:line="278" w:lineRule="auto"/>
      <w:jc w:val="left"/>
      <w:outlineLvl w:val="3"/>
    </w:pPr>
    <w:rPr>
      <w:rFonts w:ascii="等线" w:hAnsi="等线" w:eastAsia="等线" w:cs="宋体"/>
      <w:color w:val="0F4761"/>
      <w:sz w:val="28"/>
      <w:szCs w:val="28"/>
      <w14:ligatures w14:val="standardContextual"/>
    </w:rPr>
  </w:style>
  <w:style w:type="paragraph" w:styleId="6">
    <w:name w:val="heading 5"/>
    <w:basedOn w:val="1"/>
    <w:next w:val="1"/>
    <w:link w:val="26"/>
    <w:qFormat/>
    <w:uiPriority w:val="9"/>
    <w:pPr>
      <w:keepNext/>
      <w:keepLines/>
      <w:spacing w:before="80" w:after="40" w:line="278" w:lineRule="auto"/>
      <w:jc w:val="left"/>
      <w:outlineLvl w:val="4"/>
    </w:pPr>
    <w:rPr>
      <w:rFonts w:ascii="等线" w:hAnsi="等线" w:eastAsia="等线" w:cs="宋体"/>
      <w:color w:val="0F4761"/>
      <w:sz w:val="24"/>
      <w14:ligatures w14:val="standardContextual"/>
    </w:rPr>
  </w:style>
  <w:style w:type="paragraph" w:styleId="7">
    <w:name w:val="heading 6"/>
    <w:basedOn w:val="1"/>
    <w:next w:val="1"/>
    <w:link w:val="27"/>
    <w:qFormat/>
    <w:uiPriority w:val="9"/>
    <w:pPr>
      <w:keepNext/>
      <w:keepLines/>
      <w:spacing w:before="40" w:line="278" w:lineRule="auto"/>
      <w:jc w:val="left"/>
      <w:outlineLvl w:val="5"/>
    </w:pPr>
    <w:rPr>
      <w:rFonts w:ascii="等线" w:hAnsi="等线" w:eastAsia="等线" w:cs="宋体"/>
      <w:b/>
      <w:bCs/>
      <w:color w:val="0F4761"/>
      <w:sz w:val="22"/>
      <w14:ligatures w14:val="standardContextual"/>
    </w:rPr>
  </w:style>
  <w:style w:type="paragraph" w:styleId="8">
    <w:name w:val="heading 7"/>
    <w:basedOn w:val="1"/>
    <w:next w:val="1"/>
    <w:link w:val="28"/>
    <w:qFormat/>
    <w:uiPriority w:val="9"/>
    <w:pPr>
      <w:keepNext/>
      <w:keepLines/>
      <w:spacing w:before="40" w:line="278" w:lineRule="auto"/>
      <w:jc w:val="left"/>
      <w:outlineLvl w:val="6"/>
    </w:pPr>
    <w:rPr>
      <w:rFonts w:ascii="等线" w:hAnsi="等线" w:eastAsia="等线" w:cs="宋体"/>
      <w:b/>
      <w:bCs/>
      <w:color w:val="595959"/>
      <w:sz w:val="22"/>
      <w14:ligatures w14:val="standardContextual"/>
    </w:rPr>
  </w:style>
  <w:style w:type="paragraph" w:styleId="9">
    <w:name w:val="heading 8"/>
    <w:basedOn w:val="1"/>
    <w:next w:val="1"/>
    <w:link w:val="29"/>
    <w:qFormat/>
    <w:uiPriority w:val="9"/>
    <w:pPr>
      <w:keepNext/>
      <w:keepLines/>
      <w:spacing w:line="278" w:lineRule="auto"/>
      <w:jc w:val="left"/>
      <w:outlineLvl w:val="7"/>
    </w:pPr>
    <w:rPr>
      <w:rFonts w:ascii="等线" w:hAnsi="等线" w:eastAsia="等线" w:cs="宋体"/>
      <w:color w:val="595959"/>
      <w:sz w:val="22"/>
      <w14:ligatures w14:val="standardContextual"/>
    </w:rPr>
  </w:style>
  <w:style w:type="paragraph" w:styleId="10">
    <w:name w:val="heading 9"/>
    <w:basedOn w:val="1"/>
    <w:next w:val="1"/>
    <w:link w:val="30"/>
    <w:qFormat/>
    <w:uiPriority w:val="9"/>
    <w:pPr>
      <w:keepNext/>
      <w:keepLines/>
      <w:spacing w:line="278" w:lineRule="auto"/>
      <w:jc w:val="left"/>
      <w:outlineLvl w:val="8"/>
    </w:pPr>
    <w:rPr>
      <w:rFonts w:ascii="等线" w:hAnsi="等线" w:eastAsia="等线 Light" w:cs="宋体"/>
      <w:color w:val="595959"/>
      <w:sz w:val="22"/>
      <w14:ligatures w14:val="standardContextual"/>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42"/>
    <w:qFormat/>
    <w:uiPriority w:val="99"/>
    <w:pPr>
      <w:spacing w:after="120"/>
    </w:pPr>
  </w:style>
  <w:style w:type="paragraph" w:styleId="12">
    <w:name w:val="footer"/>
    <w:basedOn w:val="1"/>
    <w:link w:val="41"/>
    <w:qFormat/>
    <w:uiPriority w:val="99"/>
    <w:pPr>
      <w:tabs>
        <w:tab w:val="center" w:pos="4153"/>
        <w:tab w:val="right" w:pos="8306"/>
      </w:tabs>
      <w:snapToGrid w:val="0"/>
      <w:spacing w:after="160"/>
      <w:jc w:val="left"/>
    </w:pPr>
    <w:rPr>
      <w:rFonts w:ascii="等线" w:hAnsi="等线" w:eastAsia="等线" w:cs="宋体"/>
      <w:sz w:val="18"/>
      <w:szCs w:val="18"/>
      <w14:ligatures w14:val="standardContextual"/>
    </w:rPr>
  </w:style>
  <w:style w:type="paragraph" w:styleId="13">
    <w:name w:val="header"/>
    <w:basedOn w:val="1"/>
    <w:link w:val="40"/>
    <w:qFormat/>
    <w:uiPriority w:val="99"/>
    <w:pPr>
      <w:tabs>
        <w:tab w:val="center" w:pos="4153"/>
        <w:tab w:val="right" w:pos="8306"/>
      </w:tabs>
      <w:snapToGrid w:val="0"/>
      <w:spacing w:after="160"/>
      <w:jc w:val="center"/>
    </w:pPr>
    <w:rPr>
      <w:rFonts w:ascii="等线" w:hAnsi="等线" w:eastAsia="等线" w:cs="宋体"/>
      <w:sz w:val="18"/>
      <w:szCs w:val="18"/>
      <w14:ligatures w14:val="standardContextual"/>
    </w:rPr>
  </w:style>
  <w:style w:type="paragraph" w:styleId="14">
    <w:name w:val="Subtitle"/>
    <w:basedOn w:val="1"/>
    <w:next w:val="1"/>
    <w:link w:val="32"/>
    <w:qFormat/>
    <w:uiPriority w:val="11"/>
    <w:pPr>
      <w:spacing w:after="160" w:line="278" w:lineRule="auto"/>
      <w:jc w:val="center"/>
    </w:pPr>
    <w:rPr>
      <w:rFonts w:ascii="等线 Light" w:hAnsi="等线 Light" w:eastAsia="等线 Light" w:cs="宋体"/>
      <w:color w:val="595959"/>
      <w:spacing w:val="15"/>
      <w:sz w:val="28"/>
      <w:szCs w:val="28"/>
      <w14:ligatures w14:val="standardContextual"/>
    </w:rPr>
  </w:style>
  <w:style w:type="paragraph" w:styleId="15">
    <w:name w:val="Normal (Web)"/>
    <w:basedOn w:val="1"/>
    <w:qFormat/>
    <w:uiPriority w:val="0"/>
    <w:pPr>
      <w:spacing w:beforeAutospacing="1" w:afterAutospacing="1"/>
      <w:jc w:val="left"/>
    </w:pPr>
    <w:rPr>
      <w:rFonts w:ascii="等线" w:hAnsi="等线" w:eastAsia="等线"/>
      <w:kern w:val="0"/>
      <w:sz w:val="24"/>
    </w:rPr>
  </w:style>
  <w:style w:type="paragraph" w:styleId="16">
    <w:name w:val="Title"/>
    <w:basedOn w:val="1"/>
    <w:next w:val="1"/>
    <w:link w:val="31"/>
    <w:qFormat/>
    <w:uiPriority w:val="10"/>
    <w:pPr>
      <w:spacing w:after="80"/>
      <w:contextualSpacing/>
      <w:jc w:val="center"/>
    </w:pPr>
    <w:rPr>
      <w:rFonts w:ascii="等线 Light" w:hAnsi="等线 Light" w:eastAsia="等线 Light" w:cs="宋体"/>
      <w:spacing w:val="-10"/>
      <w:kern w:val="28"/>
      <w:sz w:val="56"/>
      <w:szCs w:val="56"/>
      <w14:ligatures w14:val="standardContextual"/>
    </w:rPr>
  </w:style>
  <w:style w:type="paragraph" w:styleId="17">
    <w:name w:val="Body Text First Indent"/>
    <w:basedOn w:val="11"/>
    <w:link w:val="43"/>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customStyle="1" w:styleId="22">
    <w:name w:val="标题 1 字符"/>
    <w:basedOn w:val="20"/>
    <w:link w:val="2"/>
    <w:qFormat/>
    <w:uiPriority w:val="9"/>
    <w:rPr>
      <w:rFonts w:ascii="等线 Light" w:hAnsi="等线 Light" w:eastAsia="等线 Light" w:cs="宋体"/>
      <w:color w:val="0F4761"/>
      <w:sz w:val="48"/>
      <w:szCs w:val="48"/>
    </w:rPr>
  </w:style>
  <w:style w:type="character" w:customStyle="1" w:styleId="23">
    <w:name w:val="标题 2 字符"/>
    <w:basedOn w:val="20"/>
    <w:link w:val="3"/>
    <w:qFormat/>
    <w:uiPriority w:val="9"/>
    <w:rPr>
      <w:rFonts w:ascii="等线 Light" w:hAnsi="等线 Light" w:eastAsia="等线 Light" w:cs="宋体"/>
      <w:color w:val="0F4761"/>
      <w:sz w:val="40"/>
      <w:szCs w:val="40"/>
    </w:rPr>
  </w:style>
  <w:style w:type="character" w:customStyle="1" w:styleId="24">
    <w:name w:val="标题 3 字符"/>
    <w:basedOn w:val="20"/>
    <w:link w:val="4"/>
    <w:qFormat/>
    <w:uiPriority w:val="0"/>
    <w:rPr>
      <w:rFonts w:ascii="等线 Light" w:hAnsi="等线 Light" w:eastAsia="等线 Light" w:cs="宋体"/>
      <w:color w:val="0F4761"/>
      <w:sz w:val="32"/>
      <w:szCs w:val="32"/>
    </w:rPr>
  </w:style>
  <w:style w:type="character" w:customStyle="1" w:styleId="25">
    <w:name w:val="标题 4 字符"/>
    <w:basedOn w:val="20"/>
    <w:link w:val="5"/>
    <w:qFormat/>
    <w:uiPriority w:val="9"/>
    <w:rPr>
      <w:rFonts w:cs="宋体"/>
      <w:color w:val="0F4761"/>
      <w:sz w:val="28"/>
      <w:szCs w:val="28"/>
    </w:rPr>
  </w:style>
  <w:style w:type="character" w:customStyle="1" w:styleId="26">
    <w:name w:val="标题 5 字符"/>
    <w:basedOn w:val="20"/>
    <w:link w:val="6"/>
    <w:qFormat/>
    <w:uiPriority w:val="9"/>
    <w:rPr>
      <w:rFonts w:cs="宋体"/>
      <w:color w:val="0F4761"/>
      <w:sz w:val="24"/>
    </w:rPr>
  </w:style>
  <w:style w:type="character" w:customStyle="1" w:styleId="27">
    <w:name w:val="标题 6 字符"/>
    <w:basedOn w:val="20"/>
    <w:link w:val="7"/>
    <w:qFormat/>
    <w:uiPriority w:val="9"/>
    <w:rPr>
      <w:rFonts w:cs="宋体"/>
      <w:b/>
      <w:bCs/>
      <w:color w:val="0F4761"/>
    </w:rPr>
  </w:style>
  <w:style w:type="character" w:customStyle="1" w:styleId="28">
    <w:name w:val="标题 7 字符"/>
    <w:basedOn w:val="20"/>
    <w:link w:val="8"/>
    <w:qFormat/>
    <w:uiPriority w:val="9"/>
    <w:rPr>
      <w:rFonts w:cs="宋体"/>
      <w:b/>
      <w:bCs/>
      <w:color w:val="595959"/>
    </w:rPr>
  </w:style>
  <w:style w:type="character" w:customStyle="1" w:styleId="29">
    <w:name w:val="标题 8 字符"/>
    <w:basedOn w:val="20"/>
    <w:link w:val="9"/>
    <w:qFormat/>
    <w:uiPriority w:val="9"/>
    <w:rPr>
      <w:rFonts w:cs="宋体"/>
      <w:color w:val="595959"/>
    </w:rPr>
  </w:style>
  <w:style w:type="character" w:customStyle="1" w:styleId="30">
    <w:name w:val="标题 9 字符"/>
    <w:basedOn w:val="20"/>
    <w:link w:val="10"/>
    <w:qFormat/>
    <w:uiPriority w:val="9"/>
    <w:rPr>
      <w:rFonts w:eastAsia="等线 Light" w:cs="宋体"/>
      <w:color w:val="595959"/>
    </w:rPr>
  </w:style>
  <w:style w:type="character" w:customStyle="1" w:styleId="31">
    <w:name w:val="标题 字符"/>
    <w:basedOn w:val="20"/>
    <w:link w:val="16"/>
    <w:qFormat/>
    <w:uiPriority w:val="10"/>
    <w:rPr>
      <w:rFonts w:ascii="等线 Light" w:hAnsi="等线 Light" w:eastAsia="等线 Light" w:cs="宋体"/>
      <w:spacing w:val="-10"/>
      <w:kern w:val="28"/>
      <w:sz w:val="56"/>
      <w:szCs w:val="56"/>
    </w:rPr>
  </w:style>
  <w:style w:type="character" w:customStyle="1" w:styleId="32">
    <w:name w:val="副标题 字符"/>
    <w:basedOn w:val="20"/>
    <w:link w:val="14"/>
    <w:qFormat/>
    <w:uiPriority w:val="11"/>
    <w:rPr>
      <w:rFonts w:ascii="等线 Light" w:hAnsi="等线 Light" w:eastAsia="等线 Light" w:cs="宋体"/>
      <w:color w:val="595959"/>
      <w:spacing w:val="15"/>
      <w:sz w:val="28"/>
      <w:szCs w:val="28"/>
    </w:rPr>
  </w:style>
  <w:style w:type="paragraph" w:styleId="33">
    <w:name w:val="Quote"/>
    <w:basedOn w:val="1"/>
    <w:next w:val="1"/>
    <w:link w:val="34"/>
    <w:qFormat/>
    <w:uiPriority w:val="29"/>
    <w:pPr>
      <w:spacing w:before="160" w:after="160" w:line="278" w:lineRule="auto"/>
      <w:jc w:val="center"/>
    </w:pPr>
    <w:rPr>
      <w:rFonts w:ascii="等线" w:hAnsi="等线" w:eastAsia="等线" w:cs="宋体"/>
      <w:i/>
      <w:iCs/>
      <w:color w:val="404040"/>
      <w:sz w:val="22"/>
      <w14:ligatures w14:val="standardContextual"/>
    </w:rPr>
  </w:style>
  <w:style w:type="character" w:customStyle="1" w:styleId="34">
    <w:name w:val="引用 字符"/>
    <w:basedOn w:val="20"/>
    <w:link w:val="33"/>
    <w:qFormat/>
    <w:uiPriority w:val="29"/>
    <w:rPr>
      <w:i/>
      <w:iCs/>
      <w:color w:val="404040"/>
    </w:rPr>
  </w:style>
  <w:style w:type="paragraph" w:styleId="35">
    <w:name w:val="List Paragraph"/>
    <w:basedOn w:val="1"/>
    <w:qFormat/>
    <w:uiPriority w:val="34"/>
    <w:pPr>
      <w:spacing w:after="160" w:line="278" w:lineRule="auto"/>
      <w:ind w:left="720"/>
      <w:contextualSpacing/>
      <w:jc w:val="left"/>
    </w:pPr>
    <w:rPr>
      <w:rFonts w:ascii="等线" w:hAnsi="等线" w:eastAsia="等线" w:cs="宋体"/>
      <w:sz w:val="22"/>
      <w14:ligatures w14:val="standardContextual"/>
    </w:rPr>
  </w:style>
  <w:style w:type="character" w:customStyle="1" w:styleId="36">
    <w:name w:val="明显强调1"/>
    <w:basedOn w:val="20"/>
    <w:qFormat/>
    <w:uiPriority w:val="21"/>
    <w:rPr>
      <w:i/>
      <w:iCs/>
      <w:color w:val="0F4761"/>
    </w:rPr>
  </w:style>
  <w:style w:type="paragraph" w:styleId="37">
    <w:name w:val="Intense Quote"/>
    <w:basedOn w:val="1"/>
    <w:next w:val="1"/>
    <w:link w:val="38"/>
    <w:qFormat/>
    <w:uiPriority w:val="30"/>
    <w:pPr>
      <w:pBdr>
        <w:top w:val="single" w:color="0F4761" w:sz="4" w:space="10"/>
        <w:bottom w:val="single" w:color="0F4761" w:sz="4" w:space="10"/>
      </w:pBdr>
      <w:spacing w:before="360" w:after="360" w:line="278" w:lineRule="auto"/>
      <w:ind w:left="864" w:right="864"/>
      <w:jc w:val="center"/>
    </w:pPr>
    <w:rPr>
      <w:rFonts w:ascii="等线" w:hAnsi="等线" w:eastAsia="等线" w:cs="宋体"/>
      <w:i/>
      <w:iCs/>
      <w:color w:val="0F4761"/>
      <w:sz w:val="22"/>
      <w14:ligatures w14:val="standardContextual"/>
    </w:rPr>
  </w:style>
  <w:style w:type="character" w:customStyle="1" w:styleId="38">
    <w:name w:val="明显引用 字符"/>
    <w:basedOn w:val="20"/>
    <w:link w:val="37"/>
    <w:qFormat/>
    <w:uiPriority w:val="30"/>
    <w:rPr>
      <w:i/>
      <w:iCs/>
      <w:color w:val="0F4761"/>
    </w:rPr>
  </w:style>
  <w:style w:type="character" w:customStyle="1" w:styleId="39">
    <w:name w:val="明显参考1"/>
    <w:basedOn w:val="20"/>
    <w:qFormat/>
    <w:uiPriority w:val="32"/>
    <w:rPr>
      <w:b/>
      <w:bCs/>
      <w:smallCaps/>
      <w:color w:val="0F4761"/>
      <w:spacing w:val="5"/>
    </w:rPr>
  </w:style>
  <w:style w:type="character" w:customStyle="1" w:styleId="40">
    <w:name w:val="页眉 字符"/>
    <w:basedOn w:val="20"/>
    <w:link w:val="13"/>
    <w:qFormat/>
    <w:uiPriority w:val="99"/>
    <w:rPr>
      <w:sz w:val="18"/>
      <w:szCs w:val="18"/>
    </w:rPr>
  </w:style>
  <w:style w:type="character" w:customStyle="1" w:styleId="41">
    <w:name w:val="页脚 字符"/>
    <w:basedOn w:val="20"/>
    <w:link w:val="12"/>
    <w:qFormat/>
    <w:uiPriority w:val="99"/>
    <w:rPr>
      <w:sz w:val="18"/>
      <w:szCs w:val="18"/>
    </w:rPr>
  </w:style>
  <w:style w:type="character" w:customStyle="1" w:styleId="42">
    <w:name w:val="正文文本 字符"/>
    <w:basedOn w:val="20"/>
    <w:link w:val="11"/>
    <w:qFormat/>
    <w:uiPriority w:val="99"/>
    <w:rPr>
      <w:rFonts w:ascii="Calibri" w:hAnsi="Calibri" w:eastAsia="宋体" w:cs="Times New Roman"/>
      <w:sz w:val="21"/>
      <w14:ligatures w14:val="none"/>
    </w:rPr>
  </w:style>
  <w:style w:type="character" w:customStyle="1" w:styleId="43">
    <w:name w:val="正文文本首行缩进 字符"/>
    <w:basedOn w:val="42"/>
    <w:link w:val="17"/>
    <w:qFormat/>
    <w:uiPriority w:val="99"/>
    <w:rPr>
      <w:rFonts w:ascii="Calibri" w:hAnsi="Calibri" w:eastAsia="宋体" w:cs="Times New Roman"/>
      <w:sz w:val="21"/>
      <w14:ligatures w14:val="none"/>
    </w:rPr>
  </w:style>
  <w:style w:type="character" w:customStyle="1" w:styleId="44">
    <w:name w:val="font11"/>
    <w:basedOn w:val="20"/>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7710</Words>
  <Characters>8042</Characters>
  <Lines>441</Lines>
  <Paragraphs>320</Paragraphs>
  <TotalTime>18</TotalTime>
  <ScaleCrop>false</ScaleCrop>
  <LinksUpToDate>false</LinksUpToDate>
  <CharactersWithSpaces>8065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2025-05-02T06:35:00Z</dcterms:created>
  <dc:creator>年 大</dc:creator>
  <cp:lastModifiedBy>A mood</cp:lastModifiedBy>
  <dcterms:modified xsi:type="dcterms:W3CDTF">2025-10-21T09:50:43Z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8F19309B54E64CABA32A4DE5E8651D45_13</vt:lpwstr>
  </property>
  <property fmtid="{D5CDD505-2E9C-101B-9397-08002B2CF9AE}" pid="3" name="KSOTemplateDocerSaveRecord">
    <vt:lpwstr>eyJoZGlkIjoiMzc3NmQ5MGJlNTIzZDRhMmQ3Yjk5MGUxOGY1NDUwZTIiLCJ1c2VySWQiOiIxMTY1MzU2OTE0In0=</vt:lpwstr>
  </property>
  <property fmtid="{D5CDD505-2E9C-101B-9397-08002B2CF9AE}" pid="4" name="KSOProductBuildVer">
    <vt:lpwstr>2052-12.1.0.23125</vt:lpwstr>
  </property>
</Properties>
</file>