
<file path=[Content_Types].xml><?xml version="1.0" encoding="utf-8"?>
<Types xmlns="http://schemas.openxmlformats.org/package/2006/content-types">
  <Default Extension="xml" ContentType="application/xml"/>
  <Default Extension="jpeg" ContentType="image/jpe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bCs/>
          <w:sz w:val="40"/>
          <w:szCs w:val="44"/>
        </w:rPr>
      </w:pPr>
      <w:r>
        <w:rPr>
          <w:rFonts w:hint="eastAsia" w:ascii="宋体" w:hAnsi="宋体" w:eastAsia="宋体" w:cs="宋体"/>
          <w:b/>
          <w:bCs/>
          <w:sz w:val="40"/>
          <w:szCs w:val="44"/>
        </w:rPr>
        <w:t>绍兴秋季专列满载10000余个高薪优岗！</w:t>
      </w:r>
    </w:p>
    <w:p>
      <w:pPr>
        <w:jc w:val="center"/>
        <w:rPr>
          <w:rFonts w:ascii="宋体" w:hAnsi="宋体" w:eastAsia="宋体" w:cs="宋体"/>
          <w:b/>
          <w:bCs/>
          <w:sz w:val="40"/>
          <w:szCs w:val="44"/>
        </w:rPr>
      </w:pPr>
      <w:r>
        <w:rPr>
          <w:rFonts w:hint="eastAsia" w:ascii="宋体" w:hAnsi="宋体" w:eastAsia="宋体" w:cs="宋体"/>
          <w:b/>
          <w:bCs/>
          <w:sz w:val="40"/>
          <w:szCs w:val="44"/>
        </w:rPr>
        <w:t>诚邀您成为城市合伙人！</w:t>
      </w:r>
    </w:p>
    <w:p>
      <w:pPr>
        <w:rPr>
          <w:rFonts w:ascii="仿宋_GB2312" w:eastAsia="仿宋_GB2312"/>
          <w:sz w:val="32"/>
          <w:szCs w:val="32"/>
        </w:rPr>
      </w:pPr>
    </w:p>
    <w:p>
      <w:pPr>
        <w:pStyle w:val="7"/>
        <w:widowControl/>
        <w:spacing w:beforeAutospacing="0" w:afterAutospacing="0"/>
        <w:ind w:firstLine="420" w:firstLineChars="200"/>
        <w:rPr>
          <w:rFonts w:ascii="Times New Roman" w:hAnsi="Times New Roman" w:eastAsia="仿宋_GB2312"/>
          <w:sz w:val="21"/>
          <w:szCs w:val="21"/>
        </w:rPr>
      </w:pPr>
      <w:r>
        <w:rPr>
          <w:rFonts w:hint="eastAsia" w:ascii="Times New Roman" w:hAnsi="Times New Roman" w:eastAsia="仿宋_GB2312"/>
          <w:sz w:val="21"/>
          <w:szCs w:val="21"/>
        </w:rPr>
        <w:t>嘀嘀嘀——各位高校毕业生请注意！“活力绍兴 智引全球”2020招才引智·秋季专列即将到站，本次专列携467家企事业单位带来10315个岗位需求，诚邀您上车！</w:t>
      </w:r>
    </w:p>
    <w:p>
      <w:pPr>
        <w:pStyle w:val="7"/>
        <w:widowControl/>
        <w:spacing w:beforeAutospacing="0" w:afterAutospacing="0"/>
        <w:ind w:firstLine="420" w:firstLineChars="200"/>
        <w:rPr>
          <w:rFonts w:ascii="Times New Roman" w:hAnsi="Times New Roman" w:eastAsia="仿宋_GB2312"/>
          <w:sz w:val="21"/>
          <w:szCs w:val="21"/>
        </w:rPr>
      </w:pPr>
      <w:r>
        <w:rPr>
          <w:rFonts w:hint="eastAsia" w:ascii="Times New Roman" w:hAnsi="Times New Roman" w:eastAsia="仿宋_GB2312"/>
          <w:sz w:val="21"/>
          <w:szCs w:val="21"/>
        </w:rPr>
        <w:t>467家企事业单位中，事业单位35家，计划招聘694人，企业432家，计划招聘9621人，其中国有企业17家，上市公司67家，标杆企业81家。10315个岗位需求中，要求本科学历和大专学历的分别占比56.4%和34.2%，覆盖专业广泛，无论你是什么学历、什么专业，总有一款适合你！赶快上车吧！</w:t>
      </w:r>
    </w:p>
    <w:p>
      <w:pPr>
        <w:pStyle w:val="7"/>
        <w:widowControl/>
        <w:spacing w:beforeAutospacing="0" w:afterAutospacing="0"/>
        <w:rPr>
          <w:rFonts w:ascii="Times New Roman" w:hAnsi="Times New Roman" w:eastAsia="仿宋_GB2312"/>
          <w:sz w:val="21"/>
          <w:szCs w:val="21"/>
        </w:rPr>
      </w:pPr>
    </w:p>
    <w:p>
      <w:pPr>
        <w:pStyle w:val="7"/>
        <w:widowControl/>
        <w:spacing w:beforeAutospacing="0" w:afterAutospacing="0"/>
        <w:ind w:firstLine="420" w:firstLineChars="200"/>
        <w:rPr>
          <w:rFonts w:ascii="黑体" w:hAnsi="黑体" w:eastAsia="黑体"/>
          <w:sz w:val="21"/>
          <w:szCs w:val="21"/>
        </w:rPr>
      </w:pPr>
      <w:r>
        <w:rPr>
          <w:rFonts w:hint="eastAsia" w:ascii="黑体" w:hAnsi="黑体" w:eastAsia="黑体"/>
          <w:sz w:val="21"/>
          <w:szCs w:val="21"/>
        </w:rPr>
        <w:t>年轻人，暖绍兴邀您一起共筑千年古城的活力梦想！</w:t>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Style w:val="11"/>
          <w:rFonts w:hint="eastAsia"/>
        </w:rPr>
        <w:t>城市初印象</w:t>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drawing>
          <wp:inline distT="0" distB="0" distL="114300" distR="114300">
            <wp:extent cx="2181225" cy="3061970"/>
            <wp:effectExtent l="19050" t="0" r="9525" b="0"/>
            <wp:docPr id="48" name="图片 48" descr="微信图片_2020082709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00827094715"/>
                    <pic:cNvPicPr>
                      <a:picLocks noChangeAspect="1"/>
                    </pic:cNvPicPr>
                  </pic:nvPicPr>
                  <pic:blipFill>
                    <a:blip r:embed="rId4" cstate="print"/>
                    <a:stretch>
                      <a:fillRect/>
                    </a:stretch>
                  </pic:blipFill>
                  <pic:spPr>
                    <a:xfrm>
                      <a:off x="0" y="0"/>
                      <a:ext cx="2181225" cy="3062253"/>
                    </a:xfrm>
                    <a:prstGeom prst="rect">
                      <a:avLst/>
                    </a:prstGeom>
                  </pic:spPr>
                </pic:pic>
              </a:graphicData>
            </a:graphic>
          </wp:inline>
        </w:drawing>
      </w: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drawing>
          <wp:anchor distT="0" distB="0" distL="114300" distR="114300" simplePos="0" relativeHeight="251788288" behindDoc="0" locked="0" layoutInCell="1" allowOverlap="1">
            <wp:simplePos x="0" y="0"/>
            <wp:positionH relativeFrom="column">
              <wp:posOffset>-142875</wp:posOffset>
            </wp:positionH>
            <wp:positionV relativeFrom="paragraph">
              <wp:posOffset>34290</wp:posOffset>
            </wp:positionV>
            <wp:extent cx="5483225" cy="2314575"/>
            <wp:effectExtent l="19050" t="0" r="3175" b="0"/>
            <wp:wrapNone/>
            <wp:docPr id="2" name="图片 11" descr="C:\Users\ADMINI~1\AppData\Local\Temp\WeChat Files\24ed35196ca6d977a84b04222f04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C:\Users\ADMINI~1\AppData\Local\Temp\WeChat Files\24ed35196ca6d977a84b04222f04a3a.jpg"/>
                    <pic:cNvPicPr>
                      <a:picLocks noChangeAspect="1" noChangeArrowheads="1"/>
                    </pic:cNvPicPr>
                  </pic:nvPicPr>
                  <pic:blipFill>
                    <a:blip r:embed="rId5" cstate="print"/>
                    <a:srcRect/>
                    <a:stretch>
                      <a:fillRect/>
                    </a:stretch>
                  </pic:blipFill>
                  <pic:spPr>
                    <a:xfrm>
                      <a:off x="0" y="0"/>
                      <a:ext cx="5483225" cy="2314575"/>
                    </a:xfrm>
                    <a:prstGeom prst="rect">
                      <a:avLst/>
                    </a:prstGeom>
                    <a:noFill/>
                    <a:ln w="9525">
                      <a:noFill/>
                      <a:miter lim="800000"/>
                      <a:headEnd/>
                      <a:tailEnd/>
                    </a:ln>
                  </pic:spPr>
                </pic:pic>
              </a:graphicData>
            </a:graphic>
          </wp:anchor>
        </w:drawing>
      </w:r>
    </w:p>
    <w:p>
      <w:pPr>
        <w:pStyle w:val="7"/>
        <w:widowControl/>
        <w:spacing w:beforeAutospacing="0" w:afterAutospacing="0"/>
        <w:jc w:val="center"/>
        <w:rPr>
          <w:rFonts w:ascii="Times New Roman" w:hAnsi="Times New Roman" w:eastAsia="仿宋_GB2312"/>
          <w:sz w:val="21"/>
          <w:szCs w:val="21"/>
          <w:highlight w:val="yellow"/>
        </w:rPr>
      </w:pPr>
    </w:p>
    <w:p>
      <w:pPr>
        <w:pStyle w:val="7"/>
        <w:widowControl/>
        <w:spacing w:beforeAutospacing="0" w:afterAutospacing="0"/>
        <w:jc w:val="center"/>
        <w:rPr>
          <w:rFonts w:ascii="Times New Roman" w:hAnsi="Times New Roman" w:eastAsia="仿宋_GB2312"/>
          <w:sz w:val="21"/>
          <w:szCs w:val="21"/>
          <w:highlight w:val="yellow"/>
        </w:rPr>
      </w:pPr>
    </w:p>
    <w:p>
      <w:pPr>
        <w:pStyle w:val="7"/>
        <w:widowControl/>
        <w:spacing w:beforeAutospacing="0" w:afterAutospacing="0"/>
        <w:jc w:val="center"/>
        <w:rPr>
          <w:rFonts w:ascii="Times New Roman" w:hAnsi="Times New Roman" w:eastAsia="仿宋_GB2312"/>
          <w:sz w:val="21"/>
          <w:szCs w:val="21"/>
          <w:highlight w:val="yellow"/>
        </w:rPr>
      </w:pPr>
    </w:p>
    <w:p>
      <w:pPr>
        <w:pStyle w:val="7"/>
        <w:widowControl/>
        <w:spacing w:beforeAutospacing="0" w:afterAutospacing="0"/>
        <w:jc w:val="center"/>
        <w:rPr>
          <w:rFonts w:ascii="Times New Roman" w:hAnsi="Times New Roman" w:eastAsia="仿宋_GB2312"/>
          <w:sz w:val="21"/>
          <w:szCs w:val="21"/>
          <w:highlight w:val="yellow"/>
        </w:rPr>
      </w:pPr>
    </w:p>
    <w:p>
      <w:pPr>
        <w:pStyle w:val="7"/>
        <w:widowControl/>
        <w:spacing w:beforeAutospacing="0" w:afterAutospacing="0"/>
        <w:jc w:val="center"/>
        <w:rPr>
          <w:rFonts w:ascii="Times New Roman" w:hAnsi="Times New Roman" w:eastAsia="仿宋_GB2312"/>
          <w:sz w:val="21"/>
          <w:szCs w:val="21"/>
          <w:highlight w:val="yellow"/>
        </w:rPr>
      </w:pPr>
    </w:p>
    <w:p>
      <w:pPr>
        <w:pStyle w:val="7"/>
        <w:widowControl/>
        <w:spacing w:beforeAutospacing="0" w:afterAutospacing="0"/>
        <w:jc w:val="center"/>
        <w:rPr>
          <w:rFonts w:ascii="Times New Roman" w:hAnsi="Times New Roman" w:eastAsia="仿宋_GB2312"/>
          <w:sz w:val="21"/>
          <w:szCs w:val="21"/>
          <w:highlight w:val="yellow"/>
        </w:rPr>
      </w:pPr>
    </w:p>
    <w:p>
      <w:pPr>
        <w:pStyle w:val="7"/>
        <w:widowControl/>
        <w:spacing w:beforeAutospacing="0" w:afterAutospacing="0"/>
        <w:jc w:val="center"/>
        <w:rPr>
          <w:rFonts w:ascii="Times New Roman" w:hAnsi="Times New Roman" w:eastAsia="仿宋_GB2312"/>
          <w:sz w:val="21"/>
          <w:szCs w:val="21"/>
          <w:highlight w:val="yellow"/>
        </w:rPr>
      </w:pPr>
    </w:p>
    <w:p>
      <w:pPr>
        <w:pStyle w:val="7"/>
        <w:widowControl/>
        <w:spacing w:beforeAutospacing="0" w:afterAutospacing="0"/>
        <w:jc w:val="center"/>
        <w:rPr>
          <w:rFonts w:ascii="Times New Roman" w:hAnsi="Times New Roman" w:eastAsia="仿宋_GB2312"/>
          <w:sz w:val="21"/>
          <w:szCs w:val="21"/>
          <w:highlight w:val="yellow"/>
        </w:rPr>
      </w:pPr>
    </w:p>
    <w:p>
      <w:pPr>
        <w:pStyle w:val="7"/>
        <w:widowControl/>
        <w:spacing w:beforeAutospacing="0" w:afterAutospacing="0"/>
        <w:jc w:val="center"/>
        <w:rPr>
          <w:rFonts w:ascii="Times New Roman" w:hAnsi="Times New Roman" w:eastAsia="仿宋_GB2312"/>
          <w:sz w:val="21"/>
          <w:szCs w:val="21"/>
          <w:highlight w:val="yellow"/>
        </w:rPr>
      </w:pPr>
    </w:p>
    <w:p>
      <w:pPr>
        <w:pStyle w:val="7"/>
        <w:widowControl/>
        <w:spacing w:beforeAutospacing="0" w:afterAutospacing="0"/>
        <w:jc w:val="center"/>
        <w:rPr>
          <w:rFonts w:ascii="Times New Roman" w:hAnsi="Times New Roman" w:eastAsia="仿宋_GB2312"/>
          <w:sz w:val="21"/>
          <w:szCs w:val="21"/>
          <w:highlight w:val="yellow"/>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绍兴</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一座飘在水上的人文古城</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流淌着</w:t>
      </w:r>
      <w:r>
        <w:rPr>
          <w:rFonts w:ascii="Times New Roman" w:hAnsi="Times New Roman" w:eastAsia="仿宋_GB2312"/>
          <w:sz w:val="21"/>
          <w:szCs w:val="21"/>
        </w:rPr>
        <w:t>2500</w:t>
      </w:r>
      <w:r>
        <w:rPr>
          <w:rFonts w:hint="eastAsia" w:ascii="Times New Roman" w:hAnsi="Times New Roman" w:eastAsia="仿宋_GB2312"/>
          <w:sz w:val="21"/>
          <w:szCs w:val="21"/>
        </w:rPr>
        <w:t>年的钟灵毓秀</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一个传统产业转型升级</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新兴产业风起云涌的活力新城</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澎湃着大湾区大发展的激情和期冀</w:t>
      </w:r>
    </w:p>
    <w:p>
      <w:pPr>
        <w:pStyle w:val="7"/>
        <w:widowControl/>
        <w:spacing w:beforeAutospacing="0" w:afterAutospacing="0"/>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drawing>
          <wp:anchor distT="0" distB="0" distL="114300" distR="114300" simplePos="0" relativeHeight="251786240" behindDoc="0" locked="0" layoutInCell="1" allowOverlap="1">
            <wp:simplePos x="0" y="0"/>
            <wp:positionH relativeFrom="column">
              <wp:posOffset>1028700</wp:posOffset>
            </wp:positionH>
            <wp:positionV relativeFrom="paragraph">
              <wp:posOffset>27940</wp:posOffset>
            </wp:positionV>
            <wp:extent cx="3067050" cy="2462530"/>
            <wp:effectExtent l="19050" t="0" r="0" b="0"/>
            <wp:wrapNone/>
            <wp:docPr id="25" name="图片 24" descr="区位图（2018.7，细节有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区位图（2018.7，细节有误）.jpeg"/>
                    <pic:cNvPicPr>
                      <a:picLocks noChangeAspect="1"/>
                    </pic:cNvPicPr>
                  </pic:nvPicPr>
                  <pic:blipFill>
                    <a:blip r:embed="rId6" cstate="print"/>
                    <a:stretch>
                      <a:fillRect/>
                    </a:stretch>
                  </pic:blipFill>
                  <pic:spPr>
                    <a:xfrm>
                      <a:off x="0" y="0"/>
                      <a:ext cx="3067050" cy="2462645"/>
                    </a:xfrm>
                    <a:prstGeom prst="rect">
                      <a:avLst/>
                    </a:prstGeom>
                  </pic:spPr>
                </pic:pic>
              </a:graphicData>
            </a:graphic>
          </wp:anchor>
        </w:drawing>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hd w:val="clear" w:color="auto" w:fill="FFFFFF"/>
        <w:spacing w:beforeAutospacing="0" w:afterAutospacing="0"/>
        <w:ind w:firstLine="420"/>
        <w:jc w:val="center"/>
        <w:rPr>
          <w:rStyle w:val="11"/>
        </w:rPr>
      </w:pPr>
    </w:p>
    <w:p>
      <w:pPr>
        <w:pStyle w:val="7"/>
        <w:widowControl/>
        <w:shd w:val="clear" w:color="auto" w:fill="FFFFFF"/>
        <w:spacing w:beforeAutospacing="0" w:afterAutospacing="0"/>
        <w:ind w:firstLine="420"/>
        <w:jc w:val="center"/>
        <w:rPr>
          <w:rStyle w:val="11"/>
        </w:rPr>
      </w:pPr>
    </w:p>
    <w:p>
      <w:pPr>
        <w:pStyle w:val="7"/>
        <w:widowControl/>
        <w:shd w:val="clear" w:color="auto" w:fill="FFFFFF"/>
        <w:spacing w:beforeAutospacing="0" w:afterAutospacing="0"/>
        <w:ind w:firstLine="420"/>
        <w:jc w:val="center"/>
        <w:rPr>
          <w:rStyle w:val="11"/>
        </w:rPr>
      </w:pPr>
    </w:p>
    <w:p>
      <w:pPr>
        <w:pStyle w:val="7"/>
        <w:widowControl/>
        <w:shd w:val="clear" w:color="auto" w:fill="FFFFFF"/>
        <w:spacing w:beforeAutospacing="0" w:afterAutospacing="0"/>
        <w:ind w:firstLine="420"/>
        <w:rPr>
          <w:rStyle w:val="11"/>
        </w:rPr>
      </w:pPr>
    </w:p>
    <w:p>
      <w:pPr>
        <w:pStyle w:val="7"/>
        <w:widowControl/>
        <w:shd w:val="clear" w:color="auto" w:fill="FFFFFF"/>
        <w:spacing w:beforeAutospacing="0" w:afterAutospacing="0"/>
        <w:ind w:firstLine="420"/>
        <w:jc w:val="center"/>
        <w:rPr>
          <w:rStyle w:val="11"/>
        </w:rPr>
      </w:pPr>
    </w:p>
    <w:p>
      <w:pPr>
        <w:pStyle w:val="7"/>
        <w:widowControl/>
        <w:shd w:val="clear" w:color="auto" w:fill="FFFFFF"/>
        <w:spacing w:beforeAutospacing="0" w:afterAutospacing="0"/>
        <w:ind w:firstLine="420"/>
        <w:jc w:val="center"/>
        <w:rPr>
          <w:rStyle w:val="11"/>
        </w:rPr>
      </w:pPr>
    </w:p>
    <w:p>
      <w:pPr>
        <w:pStyle w:val="7"/>
        <w:widowControl/>
        <w:shd w:val="clear" w:color="auto" w:fill="FFFFFF"/>
        <w:spacing w:beforeAutospacing="0" w:afterAutospacing="0"/>
        <w:jc w:val="both"/>
        <w:rPr>
          <w:rFonts w:ascii="宋体" w:hAnsi="宋体" w:eastAsia="宋体" w:cs="宋体"/>
          <w:color w:val="000000"/>
          <w:spacing w:val="8"/>
          <w:sz w:val="21"/>
          <w:szCs w:val="21"/>
          <w:shd w:val="clear" w:color="auto" w:fill="FFFFFF"/>
        </w:rPr>
      </w:pPr>
    </w:p>
    <w:p>
      <w:pPr>
        <w:pStyle w:val="7"/>
        <w:widowControl/>
        <w:shd w:val="clear" w:color="auto" w:fill="FFFFFF"/>
        <w:spacing w:beforeAutospacing="0" w:afterAutospacing="0"/>
        <w:jc w:val="center"/>
        <w:rPr>
          <w:rFonts w:ascii="宋体" w:hAnsi="宋体" w:eastAsia="宋体" w:cs="宋体"/>
          <w:color w:val="000000"/>
          <w:spacing w:val="8"/>
          <w:sz w:val="21"/>
          <w:szCs w:val="21"/>
          <w:shd w:val="clear" w:color="auto" w:fill="FFFFFF"/>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绍兴地处长江三角洲南翼</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浙江省中北部</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西接杭州，东临宁波，北濒杭州湾</w:t>
      </w: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t>交通便捷，乘坐高铁</w:t>
      </w:r>
      <w:r>
        <w:rPr>
          <w:rFonts w:ascii="Times New Roman" w:hAnsi="Times New Roman" w:eastAsia="仿宋_GB2312"/>
          <w:b/>
          <w:sz w:val="21"/>
          <w:szCs w:val="21"/>
        </w:rPr>
        <w:t>18分钟</w:t>
      </w:r>
      <w:r>
        <w:rPr>
          <w:rFonts w:ascii="Times New Roman" w:hAnsi="Times New Roman" w:eastAsia="仿宋_GB2312"/>
          <w:sz w:val="21"/>
          <w:szCs w:val="21"/>
        </w:rPr>
        <w:t>到杭州、</w:t>
      </w:r>
      <w:r>
        <w:rPr>
          <w:rFonts w:hint="eastAsia" w:ascii="Times New Roman" w:hAnsi="Times New Roman" w:eastAsia="仿宋_GB2312"/>
          <w:b/>
          <w:sz w:val="21"/>
          <w:szCs w:val="21"/>
        </w:rPr>
        <w:t>8</w:t>
      </w:r>
      <w:r>
        <w:rPr>
          <w:rFonts w:ascii="Times New Roman" w:hAnsi="Times New Roman" w:eastAsia="仿宋_GB2312"/>
          <w:b/>
          <w:sz w:val="21"/>
          <w:szCs w:val="21"/>
        </w:rPr>
        <w:t>0分钟</w:t>
      </w:r>
      <w:r>
        <w:rPr>
          <w:rFonts w:ascii="Times New Roman" w:hAnsi="Times New Roman" w:eastAsia="仿宋_GB2312"/>
          <w:sz w:val="21"/>
          <w:szCs w:val="21"/>
        </w:rPr>
        <w:t>到上海</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距萧山国际</w:t>
      </w:r>
      <w:r>
        <w:rPr>
          <w:rFonts w:ascii="Times New Roman" w:hAnsi="Times New Roman" w:eastAsia="仿宋_GB2312"/>
          <w:sz w:val="21"/>
          <w:szCs w:val="21"/>
        </w:rPr>
        <w:t>机场仅</w:t>
      </w:r>
      <w:r>
        <w:rPr>
          <w:rFonts w:ascii="Times New Roman" w:hAnsi="Times New Roman" w:eastAsia="仿宋_GB2312"/>
          <w:b/>
          <w:sz w:val="21"/>
          <w:szCs w:val="21"/>
        </w:rPr>
        <w:t>半个小时</w:t>
      </w:r>
      <w:r>
        <w:rPr>
          <w:rFonts w:ascii="Times New Roman" w:hAnsi="Times New Roman" w:eastAsia="仿宋_GB2312"/>
          <w:sz w:val="21"/>
          <w:szCs w:val="21"/>
        </w:rPr>
        <w:t>车程</w:t>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drawing>
          <wp:anchor distT="0" distB="0" distL="114300" distR="114300" simplePos="0" relativeHeight="251790336" behindDoc="0" locked="0" layoutInCell="1" allowOverlap="1">
            <wp:simplePos x="0" y="0"/>
            <wp:positionH relativeFrom="column">
              <wp:posOffset>752475</wp:posOffset>
            </wp:positionH>
            <wp:positionV relativeFrom="paragraph">
              <wp:posOffset>20955</wp:posOffset>
            </wp:positionV>
            <wp:extent cx="3919220" cy="2590800"/>
            <wp:effectExtent l="19050" t="0" r="5080" b="0"/>
            <wp:wrapNone/>
            <wp:docPr id="3" name="图片 2" descr="鲁迅故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鲁迅故里.jpeg"/>
                    <pic:cNvPicPr>
                      <a:picLocks noChangeAspect="1"/>
                    </pic:cNvPicPr>
                  </pic:nvPicPr>
                  <pic:blipFill>
                    <a:blip r:embed="rId7" cstate="print"/>
                    <a:stretch>
                      <a:fillRect/>
                    </a:stretch>
                  </pic:blipFill>
                  <pic:spPr>
                    <a:xfrm>
                      <a:off x="0" y="0"/>
                      <a:ext cx="3919220" cy="2590800"/>
                    </a:xfrm>
                    <a:prstGeom prst="rect">
                      <a:avLst/>
                    </a:prstGeom>
                  </pic:spPr>
                </pic:pic>
              </a:graphicData>
            </a:graphic>
          </wp:anchor>
        </w:drawing>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b/>
          <w:sz w:val="21"/>
          <w:szCs w:val="21"/>
        </w:rPr>
      </w:pPr>
      <w:r>
        <w:rPr>
          <w:rFonts w:hint="eastAsia" w:ascii="Times New Roman" w:hAnsi="Times New Roman" w:eastAsia="仿宋_GB2312"/>
          <w:b/>
          <w:sz w:val="21"/>
          <w:szCs w:val="21"/>
        </w:rPr>
        <w:t>千年古城</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b/>
          <w:sz w:val="21"/>
          <w:szCs w:val="21"/>
        </w:rPr>
        <w:t>名士之乡</w:t>
      </w: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t>历朝历代名人辈出</w:t>
      </w:r>
      <w:r>
        <w:rPr>
          <w:rFonts w:hint="eastAsia" w:ascii="Times New Roman" w:hAnsi="Times New Roman" w:eastAsia="仿宋_GB2312"/>
          <w:sz w:val="21"/>
          <w:szCs w:val="21"/>
        </w:rPr>
        <w:t>，勾践、王羲之、陆游、王阳明……</w:t>
      </w: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t>近代以来涌现出周恩来、鲁迅、秋瑾等一批杰出人物</w:t>
      </w: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t>培育了何燮侯、蔡元培、蒋梦麟、马寅初4位北大校长</w:t>
      </w: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t>钱三强、陈建功、范文澜等77位绍兴籍院士</w:t>
      </w:r>
    </w:p>
    <w:p>
      <w:pPr>
        <w:pStyle w:val="7"/>
        <w:widowControl/>
        <w:spacing w:beforeAutospacing="0" w:afterAutospacing="0"/>
        <w:jc w:val="both"/>
        <w:rPr>
          <w:rFonts w:ascii="Times New Roman" w:hAnsi="Times New Roman" w:eastAsia="仿宋_GB2312"/>
          <w:sz w:val="21"/>
          <w:szCs w:val="21"/>
        </w:rPr>
      </w:pPr>
    </w:p>
    <w:p>
      <w:pPr>
        <w:pStyle w:val="7"/>
        <w:widowControl/>
        <w:spacing w:beforeAutospacing="0" w:afterAutospacing="0"/>
        <w:jc w:val="both"/>
        <w:rPr>
          <w:rFonts w:ascii="Times New Roman" w:hAnsi="Times New Roman" w:eastAsia="仿宋_GB2312"/>
          <w:sz w:val="21"/>
          <w:szCs w:val="21"/>
        </w:rPr>
      </w:pPr>
    </w:p>
    <w:p>
      <w:pPr>
        <w:pStyle w:val="7"/>
        <w:widowControl/>
        <w:spacing w:beforeAutospacing="0" w:afterAutospacing="0"/>
        <w:jc w:val="center"/>
        <w:rPr>
          <w:rStyle w:val="11"/>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————————————————（分割线）—————————————————</w:t>
      </w:r>
    </w:p>
    <w:p>
      <w:pPr>
        <w:pStyle w:val="7"/>
        <w:widowControl/>
        <w:spacing w:beforeAutospacing="0" w:afterAutospacing="0"/>
        <w:jc w:val="center"/>
        <w:rPr>
          <w:rStyle w:val="11"/>
        </w:rPr>
      </w:pPr>
    </w:p>
    <w:p>
      <w:pPr>
        <w:pStyle w:val="7"/>
        <w:widowControl/>
        <w:spacing w:beforeAutospacing="0" w:afterAutospacing="0"/>
        <w:jc w:val="center"/>
        <w:rPr>
          <w:rStyle w:val="11"/>
        </w:rPr>
      </w:pPr>
      <w:r>
        <w:rPr>
          <w:rStyle w:val="11"/>
        </w:rPr>
        <w:t>产业</w:t>
      </w:r>
      <w:r>
        <w:rPr>
          <w:rStyle w:val="11"/>
          <w:rFonts w:hint="eastAsia"/>
        </w:rPr>
        <w:t>活力</w:t>
      </w:r>
    </w:p>
    <w:p>
      <w:pPr>
        <w:pStyle w:val="7"/>
        <w:widowControl/>
        <w:spacing w:beforeAutospacing="0" w:afterAutospacing="0"/>
        <w:jc w:val="center"/>
        <w:rPr>
          <w:rFonts w:ascii="Times New Roman" w:hAnsi="Times New Roman" w:eastAsia="仿宋_GB2312"/>
          <w:b/>
          <w:sz w:val="21"/>
          <w:szCs w:val="21"/>
        </w:rPr>
      </w:pPr>
      <w:r>
        <w:rPr>
          <w:rFonts w:hint="eastAsia" w:ascii="Times New Roman" w:hAnsi="Times New Roman" w:eastAsia="仿宋_GB2312"/>
          <w:sz w:val="21"/>
          <w:szCs w:val="21"/>
        </w:rPr>
        <w:t>2019年实现地区生产总值</w:t>
      </w:r>
      <w:r>
        <w:rPr>
          <w:rFonts w:hint="eastAsia" w:ascii="Times New Roman" w:hAnsi="Times New Roman" w:eastAsia="仿宋_GB2312"/>
          <w:b/>
          <w:sz w:val="21"/>
          <w:szCs w:val="21"/>
        </w:rPr>
        <w:t>5781亿元</w:t>
      </w:r>
    </w:p>
    <w:p>
      <w:pPr>
        <w:pStyle w:val="7"/>
        <w:widowControl/>
        <w:spacing w:beforeAutospacing="0" w:afterAutospacing="0"/>
        <w:jc w:val="center"/>
        <w:rPr>
          <w:rFonts w:ascii="Times New Roman" w:hAnsi="Times New Roman" w:eastAsia="仿宋_GB2312"/>
          <w:b/>
          <w:sz w:val="21"/>
          <w:szCs w:val="21"/>
        </w:rPr>
      </w:pPr>
      <w:r>
        <w:rPr>
          <w:rFonts w:hint="eastAsia" w:ascii="Times New Roman" w:hAnsi="Times New Roman" w:eastAsia="仿宋_GB2312"/>
          <w:sz w:val="21"/>
          <w:szCs w:val="21"/>
        </w:rPr>
        <w:t>位居全国城市综合经济实力榜第</w:t>
      </w:r>
      <w:r>
        <w:rPr>
          <w:rFonts w:hint="eastAsia" w:ascii="Times New Roman" w:hAnsi="Times New Roman" w:eastAsia="仿宋_GB2312"/>
          <w:b/>
          <w:sz w:val="21"/>
          <w:szCs w:val="21"/>
        </w:rPr>
        <w:t>33位</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全市共有</w:t>
      </w:r>
      <w:r>
        <w:rPr>
          <w:rFonts w:ascii="Times New Roman" w:hAnsi="Times New Roman" w:eastAsia="仿宋_GB2312"/>
          <w:b/>
          <w:sz w:val="21"/>
          <w:szCs w:val="21"/>
        </w:rPr>
        <w:t>4500余家</w:t>
      </w:r>
      <w:r>
        <w:rPr>
          <w:rFonts w:ascii="Times New Roman" w:hAnsi="Times New Roman" w:eastAsia="仿宋_GB2312"/>
          <w:sz w:val="21"/>
          <w:szCs w:val="21"/>
        </w:rPr>
        <w:t>规上企业</w:t>
      </w: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b/>
          <w:sz w:val="21"/>
          <w:szCs w:val="21"/>
        </w:rPr>
        <w:t>1000余家</w:t>
      </w:r>
      <w:r>
        <w:rPr>
          <w:rFonts w:ascii="Times New Roman" w:hAnsi="Times New Roman" w:eastAsia="仿宋_GB2312"/>
          <w:sz w:val="21"/>
          <w:szCs w:val="21"/>
        </w:rPr>
        <w:t>国家高新技术企业</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b/>
          <w:sz w:val="21"/>
          <w:szCs w:val="21"/>
        </w:rPr>
        <w:t>5000余家</w:t>
      </w:r>
      <w:r>
        <w:rPr>
          <w:rFonts w:hint="eastAsia" w:ascii="Times New Roman" w:hAnsi="Times New Roman" w:eastAsia="仿宋_GB2312"/>
          <w:sz w:val="21"/>
          <w:szCs w:val="21"/>
        </w:rPr>
        <w:t>省科技型中小企业</w:t>
      </w: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b/>
          <w:sz w:val="21"/>
          <w:szCs w:val="21"/>
        </w:rPr>
        <w:t>7</w:t>
      </w:r>
      <w:r>
        <w:rPr>
          <w:rFonts w:hint="eastAsia" w:ascii="Times New Roman" w:hAnsi="Times New Roman" w:eastAsia="仿宋_GB2312"/>
          <w:b/>
          <w:sz w:val="21"/>
          <w:szCs w:val="21"/>
        </w:rPr>
        <w:t>8</w:t>
      </w:r>
      <w:r>
        <w:rPr>
          <w:rFonts w:ascii="Times New Roman" w:hAnsi="Times New Roman" w:eastAsia="仿宋_GB2312"/>
          <w:b/>
          <w:sz w:val="21"/>
          <w:szCs w:val="21"/>
        </w:rPr>
        <w:t>家</w:t>
      </w:r>
      <w:r>
        <w:rPr>
          <w:rFonts w:ascii="Times New Roman" w:hAnsi="Times New Roman" w:eastAsia="仿宋_GB2312"/>
          <w:sz w:val="21"/>
          <w:szCs w:val="21"/>
        </w:rPr>
        <w:t>上市公司</w:t>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 xml:space="preserve">黄酒、珍珠  </w:t>
      </w:r>
      <w:r>
        <w:rPr>
          <w:rFonts w:ascii="Times New Roman" w:hAnsi="Times New Roman" w:eastAsia="仿宋_GB2312"/>
          <w:b/>
          <w:sz w:val="21"/>
          <w:szCs w:val="21"/>
        </w:rPr>
        <w:t>两大历史经典产业</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 xml:space="preserve">纺织、化工、金属加工   </w:t>
      </w:r>
      <w:r>
        <w:rPr>
          <w:rFonts w:ascii="Times New Roman" w:hAnsi="Times New Roman" w:eastAsia="仿宋_GB2312"/>
          <w:b/>
          <w:sz w:val="21"/>
          <w:szCs w:val="21"/>
        </w:rPr>
        <w:t>三大优势传统产业</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 xml:space="preserve">电子信息、现代医药、高端装备、新材料  </w:t>
      </w:r>
      <w:r>
        <w:rPr>
          <w:rFonts w:hint="eastAsia" w:ascii="Times New Roman" w:hAnsi="Times New Roman" w:eastAsia="仿宋_GB2312"/>
          <w:b/>
          <w:sz w:val="21"/>
          <w:szCs w:val="21"/>
        </w:rPr>
        <w:t>四大新兴产业</w:t>
      </w:r>
    </w:p>
    <w:p>
      <w:pPr>
        <w:pStyle w:val="7"/>
        <w:widowControl/>
        <w:spacing w:beforeAutospacing="0" w:afterAutospacing="0"/>
        <w:jc w:val="center"/>
        <w:rPr>
          <w:rFonts w:ascii="Times New Roman" w:hAnsi="Times New Roman" w:eastAsia="仿宋_GB2312"/>
          <w:sz w:val="21"/>
          <w:szCs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753110</wp:posOffset>
                </wp:positionH>
                <wp:positionV relativeFrom="paragraph">
                  <wp:posOffset>146685</wp:posOffset>
                </wp:positionV>
                <wp:extent cx="897890" cy="28384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897890" cy="283845"/>
                        </a:xfrm>
                        <a:prstGeom prst="rect">
                          <a:avLst/>
                        </a:prstGeom>
                        <a:noFill/>
                        <a:ln w="6350">
                          <a:noFill/>
                        </a:ln>
                        <a:effectLst/>
                      </wps:spPr>
                      <wps:txbx>
                        <w:txbxContent>
                          <w:p>
                            <w:r>
                              <w:rPr>
                                <w:rFonts w:hint="eastAsia"/>
                              </w:rPr>
                              <w:t>电子信息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3pt;margin-top:11.55pt;height:22.35pt;width:70.7pt;z-index:251672576;mso-width-relative:page;mso-height-relative:page;" filled="f" stroked="f" coordsize="21600,21600" o:gfxdata="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6swfbZAAAACQEAAA8AAAAAAAAAAQAgAAAAIgAAAGRycy9kb3ducmV2LnhtbFBLAQIUABQAAAAI&#10;AIdO4kCUVp+FJQIAACcEAAAOAAAAAAAAAAEAIAAAACgBAABkcnMvZTJvRG9jLnhtbFBLBQYAAAAA&#10;BgAGAFkBAAC/BQAAAAA=&#10;">
                <v:fill on="f" focussize="0,0"/>
                <v:stroke on="f" weight="0.5pt"/>
                <v:imagedata o:title=""/>
                <o:lock v:ext="edit" aspectratio="f"/>
                <v:textbox>
                  <w:txbxContent>
                    <w:p>
                      <w:r>
                        <w:rPr>
                          <w:rFonts w:hint="eastAsia"/>
                        </w:rPr>
                        <w:t>电子信息</w:t>
                      </w:r>
                    </w:p>
                  </w:txbxContent>
                </v:textbox>
              </v:shape>
            </w:pict>
          </mc:Fallback>
        </mc:AlternateContent>
      </w:r>
      <w:r>
        <w:rPr>
          <w:sz w:val="21"/>
        </w:rPr>
        <mc:AlternateContent>
          <mc:Choice Requires="wps">
            <w:drawing>
              <wp:anchor distT="0" distB="0" distL="114300" distR="114300" simplePos="0" relativeHeight="251780096" behindDoc="0" locked="0" layoutInCell="1" allowOverlap="1">
                <wp:simplePos x="0" y="0"/>
                <wp:positionH relativeFrom="column">
                  <wp:posOffset>3747135</wp:posOffset>
                </wp:positionH>
                <wp:positionV relativeFrom="paragraph">
                  <wp:posOffset>1456690</wp:posOffset>
                </wp:positionV>
                <wp:extent cx="897890" cy="28384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897890" cy="283845"/>
                        </a:xfrm>
                        <a:prstGeom prst="rect">
                          <a:avLst/>
                        </a:prstGeom>
                        <a:noFill/>
                        <a:ln w="6350">
                          <a:noFill/>
                        </a:ln>
                        <a:effectLst/>
                      </wps:spPr>
                      <wps:txbx>
                        <w:txbxContent>
                          <w:p>
                            <w:r>
                              <w:rPr>
                                <w:rFonts w:hint="eastAsia"/>
                              </w:rPr>
                              <w:t>新材料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05pt;margin-top:114.7pt;height:22.35pt;width:70.7pt;z-index:251780096;mso-width-relative:page;mso-height-relative:page;" filled="f" stroked="f" coordsize="21600,21600" o:gfxdata="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vV8JjdAAAACwEAAA8AAAAAAAAAAQAgAAAAIgAAAGRycy9kb3ducmV2LnhtbFBLAQIUABQA&#10;AAAIAIdO4kCa8siNJAIAACcEAAAOAAAAAAAAAAEAIAAAACwBAABkcnMvZTJvRG9jLnhtbFBLBQYA&#10;AAAABgAGAFkBAADCBQAAAAA=&#10;">
                <v:fill on="f" focussize="0,0"/>
                <v:stroke on="f" weight="0.5pt"/>
                <v:imagedata o:title=""/>
                <o:lock v:ext="edit" aspectratio="f"/>
                <v:textbox>
                  <w:txbxContent>
                    <w:p>
                      <w:r>
                        <w:rPr>
                          <w:rFonts w:hint="eastAsia"/>
                        </w:rPr>
                        <w:t>新材料</w:t>
                      </w:r>
                    </w:p>
                  </w:txbxContent>
                </v:textbox>
              </v:shape>
            </w:pict>
          </mc:Fallback>
        </mc:AlternateContent>
      </w:r>
      <w:r>
        <w:rPr>
          <w:sz w:val="21"/>
        </w:rPr>
        <mc:AlternateContent>
          <mc:Choice Requires="wps">
            <w:drawing>
              <wp:anchor distT="0" distB="0" distL="114300" distR="114300" simplePos="0" relativeHeight="251718656" behindDoc="0" locked="0" layoutInCell="1" allowOverlap="1">
                <wp:simplePos x="0" y="0"/>
                <wp:positionH relativeFrom="column">
                  <wp:posOffset>1873885</wp:posOffset>
                </wp:positionH>
                <wp:positionV relativeFrom="paragraph">
                  <wp:posOffset>1406525</wp:posOffset>
                </wp:positionV>
                <wp:extent cx="897890" cy="28384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897890" cy="283845"/>
                        </a:xfrm>
                        <a:prstGeom prst="rect">
                          <a:avLst/>
                        </a:prstGeom>
                        <a:noFill/>
                        <a:ln w="6350">
                          <a:noFill/>
                        </a:ln>
                        <a:effectLst/>
                      </wps:spPr>
                      <wps:txbx>
                        <w:txbxContent>
                          <w:p>
                            <w:r>
                              <w:rPr>
                                <w:rFonts w:hint="eastAsia"/>
                              </w:rPr>
                              <w:t>高端装备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10.75pt;height:22.35pt;width:70.7pt;z-index:251718656;mso-width-relative:page;mso-height-relative:page;" filled="f" stroked="f" coordsize="21600,21600" o:gfxdata="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8muu12wAAAAsBAAAPAAAAAAAAAAEAIAAAACIAAABkcnMvZG93bnJldi54bWxQSwECFAAUAAAA&#10;CACHTuJAv7EH+iQCAAAnBAAADgAAAAAAAAABACAAAAAqAQAAZHJzL2Uyb0RvYy54bWxQSwUGAAAA&#10;AAYABgBZAQAAwAUAAAAA&#10;">
                <v:fill on="f" focussize="0,0"/>
                <v:stroke on="f" weight="0.5pt"/>
                <v:imagedata o:title=""/>
                <o:lock v:ext="edit" aspectratio="f"/>
                <v:textbox>
                  <w:txbxContent>
                    <w:p>
                      <w:r>
                        <w:rPr>
                          <w:rFonts w:hint="eastAsia"/>
                        </w:rPr>
                        <w:t>高端装备</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3653790</wp:posOffset>
                </wp:positionH>
                <wp:positionV relativeFrom="paragraph">
                  <wp:posOffset>76835</wp:posOffset>
                </wp:positionV>
                <wp:extent cx="897890" cy="28384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897890" cy="283845"/>
                        </a:xfrm>
                        <a:prstGeom prst="rect">
                          <a:avLst/>
                        </a:prstGeom>
                        <a:noFill/>
                        <a:ln w="6350">
                          <a:noFill/>
                        </a:ln>
                        <a:effectLst/>
                      </wps:spPr>
                      <wps:txbx>
                        <w:txbxContent>
                          <w:p>
                            <w:r>
                              <w:rPr>
                                <w:rFonts w:hint="eastAsia"/>
                              </w:rPr>
                              <w:t>现代医药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7pt;margin-top:6.05pt;height:22.35pt;width:70.7pt;z-index:251687936;mso-width-relative:page;mso-height-relative:page;" filled="f" stroked="f" coordsize="21600,21600" o:gfxdata="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GqhcNkAAAAJAQAADwAAAAAAAAABACAAAAAiAAAAZHJzL2Rvd25yZXYueG1sUEsBAhQAFAAAAAgA&#10;h07iQApBcygkAgAAJwQAAA4AAAAAAAAAAQAgAAAAKAEAAGRycy9lMm9Eb2MueG1sUEsFBgAAAAAG&#10;AAYAWQEAAL4FAAAAAA==&#10;">
                <v:fill on="f" focussize="0,0"/>
                <v:stroke on="f" weight="0.5pt"/>
                <v:imagedata o:title=""/>
                <o:lock v:ext="edit" aspectratio="f"/>
                <v:textbox>
                  <w:txbxContent>
                    <w:p>
                      <w:r>
                        <w:rPr>
                          <w:rFonts w:hint="eastAsia"/>
                        </w:rPr>
                        <w:t>现代医药</w:t>
                      </w:r>
                    </w:p>
                  </w:txbxContent>
                </v:textbox>
              </v:shape>
            </w:pict>
          </mc:Fallback>
        </mc:AlternateContent>
      </w:r>
      <w:r>
        <w:rPr>
          <w:rFonts w:hint="eastAsia" w:ascii="Times New Roman" w:hAnsi="Times New Roman" w:eastAsia="仿宋_GB2312"/>
          <w:sz w:val="21"/>
          <w:szCs w:val="21"/>
        </w:rPr>
        <w:drawing>
          <wp:inline distT="0" distB="0" distL="114300" distR="114300">
            <wp:extent cx="1882775" cy="1153160"/>
            <wp:effectExtent l="0" t="0" r="3175" b="8890"/>
            <wp:docPr id="31" name="图片 31" descr="电子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电子信息"/>
                    <pic:cNvPicPr>
                      <a:picLocks noChangeAspect="1"/>
                    </pic:cNvPicPr>
                  </pic:nvPicPr>
                  <pic:blipFill>
                    <a:blip r:embed="rId8" cstate="print"/>
                    <a:stretch>
                      <a:fillRect/>
                    </a:stretch>
                  </pic:blipFill>
                  <pic:spPr>
                    <a:xfrm>
                      <a:off x="0" y="0"/>
                      <a:ext cx="1882775" cy="1153160"/>
                    </a:xfrm>
                    <a:prstGeom prst="rect">
                      <a:avLst/>
                    </a:prstGeom>
                  </pic:spPr>
                </pic:pic>
              </a:graphicData>
            </a:graphic>
          </wp:inline>
        </w:drawing>
      </w:r>
      <w:r>
        <w:rPr>
          <w:rFonts w:hint="eastAsia" w:ascii="Times New Roman" w:hAnsi="Times New Roman" w:eastAsia="仿宋_GB2312"/>
          <w:sz w:val="21"/>
          <w:szCs w:val="21"/>
        </w:rPr>
        <w:drawing>
          <wp:inline distT="0" distB="0" distL="114300" distR="114300">
            <wp:extent cx="2048510" cy="1151890"/>
            <wp:effectExtent l="0" t="0" r="8890" b="10160"/>
            <wp:docPr id="32" name="图片 32" descr="现代医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现代医药"/>
                    <pic:cNvPicPr>
                      <a:picLocks noChangeAspect="1"/>
                    </pic:cNvPicPr>
                  </pic:nvPicPr>
                  <pic:blipFill>
                    <a:blip r:embed="rId9" cstate="print"/>
                    <a:stretch>
                      <a:fillRect/>
                    </a:stretch>
                  </pic:blipFill>
                  <pic:spPr>
                    <a:xfrm>
                      <a:off x="0" y="0"/>
                      <a:ext cx="2048510" cy="1151890"/>
                    </a:xfrm>
                    <a:prstGeom prst="rect">
                      <a:avLst/>
                    </a:prstGeom>
                  </pic:spPr>
                </pic:pic>
              </a:graphicData>
            </a:graphic>
          </wp:inline>
        </w:drawing>
      </w:r>
      <w:r>
        <w:rPr>
          <w:rFonts w:hint="eastAsia" w:ascii="Times New Roman" w:hAnsi="Times New Roman" w:eastAsia="仿宋_GB2312"/>
          <w:sz w:val="21"/>
          <w:szCs w:val="21"/>
        </w:rPr>
        <w:drawing>
          <wp:inline distT="0" distB="0" distL="114300" distR="114300">
            <wp:extent cx="1960245" cy="1310005"/>
            <wp:effectExtent l="0" t="0" r="1905" b="4445"/>
            <wp:docPr id="33" name="图片 33" descr="高端装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高端装备"/>
                    <pic:cNvPicPr>
                      <a:picLocks noChangeAspect="1"/>
                    </pic:cNvPicPr>
                  </pic:nvPicPr>
                  <pic:blipFill>
                    <a:blip r:embed="rId10" cstate="print"/>
                    <a:stretch>
                      <a:fillRect/>
                    </a:stretch>
                  </pic:blipFill>
                  <pic:spPr>
                    <a:xfrm>
                      <a:off x="0" y="0"/>
                      <a:ext cx="1960245" cy="1310005"/>
                    </a:xfrm>
                    <a:prstGeom prst="rect">
                      <a:avLst/>
                    </a:prstGeom>
                  </pic:spPr>
                </pic:pic>
              </a:graphicData>
            </a:graphic>
          </wp:inline>
        </w:drawing>
      </w:r>
      <w:r>
        <w:rPr>
          <w:rFonts w:hint="eastAsia" w:ascii="Times New Roman" w:hAnsi="Times New Roman" w:eastAsia="仿宋_GB2312"/>
          <w:sz w:val="21"/>
          <w:szCs w:val="21"/>
        </w:rPr>
        <w:drawing>
          <wp:inline distT="0" distB="0" distL="114300" distR="114300">
            <wp:extent cx="1625600" cy="1394460"/>
            <wp:effectExtent l="0" t="0" r="12700" b="15240"/>
            <wp:docPr id="34" name="图片 34" descr="新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新材料"/>
                    <pic:cNvPicPr>
                      <a:picLocks noChangeAspect="1"/>
                    </pic:cNvPicPr>
                  </pic:nvPicPr>
                  <pic:blipFill>
                    <a:blip r:embed="rId11" cstate="print"/>
                    <a:stretch>
                      <a:fillRect/>
                    </a:stretch>
                  </pic:blipFill>
                  <pic:spPr>
                    <a:xfrm>
                      <a:off x="0" y="0"/>
                      <a:ext cx="1625600" cy="1394460"/>
                    </a:xfrm>
                    <a:prstGeom prst="rect">
                      <a:avLst/>
                    </a:prstGeom>
                  </pic:spPr>
                </pic:pic>
              </a:graphicData>
            </a:graphic>
          </wp:inline>
        </w:drawing>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t>集成电路、生物医药产业</w:t>
      </w: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t>入选省级“</w:t>
      </w:r>
      <w:r>
        <w:rPr>
          <w:rFonts w:ascii="Times New Roman" w:hAnsi="Times New Roman" w:eastAsia="仿宋_GB2312"/>
          <w:b/>
          <w:sz w:val="21"/>
          <w:szCs w:val="21"/>
        </w:rPr>
        <w:t>万亩千亿</w:t>
      </w:r>
      <w:r>
        <w:rPr>
          <w:rFonts w:ascii="Times New Roman" w:hAnsi="Times New Roman" w:eastAsia="仿宋_GB2312"/>
          <w:sz w:val="21"/>
          <w:szCs w:val="21"/>
        </w:rPr>
        <w:t>”新产业平台</w:t>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t>中芯绍兴</w:t>
      </w:r>
      <w:r>
        <w:rPr>
          <w:rFonts w:hint="eastAsia" w:ascii="Times New Roman" w:hAnsi="Times New Roman" w:eastAsia="仿宋_GB2312"/>
          <w:sz w:val="21"/>
          <w:szCs w:val="21"/>
        </w:rPr>
        <w:t>、</w:t>
      </w:r>
      <w:r>
        <w:rPr>
          <w:rFonts w:ascii="Times New Roman" w:hAnsi="Times New Roman" w:eastAsia="仿宋_GB2312"/>
          <w:sz w:val="21"/>
          <w:szCs w:val="21"/>
        </w:rPr>
        <w:t>长电科技</w:t>
      </w:r>
      <w:r>
        <w:rPr>
          <w:rFonts w:hint="eastAsia" w:ascii="Times New Roman" w:hAnsi="Times New Roman" w:eastAsia="仿宋_GB2312"/>
          <w:sz w:val="21"/>
          <w:szCs w:val="21"/>
        </w:rPr>
        <w:t>、</w:t>
      </w:r>
      <w:r>
        <w:rPr>
          <w:rFonts w:ascii="Times New Roman" w:hAnsi="Times New Roman" w:eastAsia="仿宋_GB2312"/>
          <w:sz w:val="21"/>
          <w:szCs w:val="21"/>
        </w:rPr>
        <w:t>中纺院绿色纤维</w:t>
      </w:r>
      <w:r>
        <w:rPr>
          <w:rFonts w:hint="eastAsia" w:ascii="Times New Roman" w:hAnsi="Times New Roman" w:eastAsia="仿宋_GB2312"/>
          <w:sz w:val="21"/>
          <w:szCs w:val="21"/>
        </w:rPr>
        <w:t>、</w:t>
      </w:r>
      <w:r>
        <w:rPr>
          <w:rFonts w:ascii="Times New Roman" w:hAnsi="Times New Roman" w:eastAsia="仿宋_GB2312"/>
          <w:sz w:val="21"/>
          <w:szCs w:val="21"/>
        </w:rPr>
        <w:t>张江生物</w:t>
      </w:r>
      <w:r>
        <w:rPr>
          <w:rFonts w:hint="eastAsia" w:ascii="Times New Roman" w:hAnsi="Times New Roman" w:eastAsia="仿宋_GB2312"/>
          <w:sz w:val="21"/>
          <w:szCs w:val="21"/>
        </w:rPr>
        <w:t>、</w:t>
      </w:r>
      <w:r>
        <w:rPr>
          <w:rFonts w:ascii="Times New Roman" w:hAnsi="Times New Roman" w:eastAsia="仿宋_GB2312"/>
          <w:sz w:val="21"/>
          <w:szCs w:val="21"/>
        </w:rPr>
        <w:t>恒天新能源汽车等</w:t>
      </w: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t>重大产业项目引进投产</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着力打造</w:t>
      </w:r>
      <w:r>
        <w:rPr>
          <w:rFonts w:ascii="Times New Roman" w:hAnsi="Times New Roman" w:eastAsia="仿宋_GB2312"/>
          <w:b/>
          <w:sz w:val="21"/>
          <w:szCs w:val="21"/>
        </w:rPr>
        <w:t>“双十双百”现代制造集群</w:t>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drawing>
          <wp:anchor distT="0" distB="0" distL="114300" distR="114300" simplePos="0" relativeHeight="251794432" behindDoc="0" locked="0" layoutInCell="1" allowOverlap="1">
            <wp:simplePos x="0" y="0"/>
            <wp:positionH relativeFrom="column">
              <wp:posOffset>730885</wp:posOffset>
            </wp:positionH>
            <wp:positionV relativeFrom="paragraph">
              <wp:posOffset>584835</wp:posOffset>
            </wp:positionV>
            <wp:extent cx="3829050" cy="1781175"/>
            <wp:effectExtent l="1905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srcRect/>
                    <a:stretch>
                      <a:fillRect/>
                    </a:stretch>
                  </pic:blipFill>
                  <pic:spPr>
                    <a:xfrm>
                      <a:off x="0" y="0"/>
                      <a:ext cx="3829050" cy="1781175"/>
                    </a:xfrm>
                    <a:prstGeom prst="rect">
                      <a:avLst/>
                    </a:prstGeom>
                    <a:noFill/>
                    <a:ln w="9525">
                      <a:noFill/>
                      <a:miter lim="800000"/>
                      <a:headEnd/>
                      <a:tailEnd/>
                    </a:ln>
                  </pic:spPr>
                </pic:pic>
              </a:graphicData>
            </a:graphic>
          </wp:anchor>
        </w:drawing>
      </w:r>
      <w:r>
        <w:rPr>
          <w:rFonts w:hint="eastAsia" w:ascii="Times New Roman" w:hAnsi="Times New Roman" w:eastAsia="仿宋_GB2312"/>
          <w:sz w:val="21"/>
          <w:szCs w:val="21"/>
        </w:rPr>
        <w:t>纺织、绿色化工、现代医药、集成电路、金属加工、装备及关键零部件、珍珠饰品、智能厨电、现代住建、黄酒、新材料、汽车整车及零部件、人工智能、节能环保、食品及添加剂、时尚服饰、数字5G、绿色包装、智能电机、医疗器械……</w:t>
      </w:r>
    </w:p>
    <w:p>
      <w:pPr>
        <w:pStyle w:val="7"/>
        <w:widowControl/>
        <w:spacing w:beforeAutospacing="0" w:afterAutospacing="0"/>
        <w:jc w:val="center"/>
        <w:rPr>
          <w:rFonts w:ascii="Times New Roman" w:hAnsi="Times New Roman" w:eastAsia="仿宋_GB2312"/>
          <w:color w:val="0000FF"/>
          <w:sz w:val="21"/>
          <w:szCs w:val="21"/>
        </w:rPr>
      </w:pPr>
    </w:p>
    <w:p>
      <w:pPr>
        <w:pStyle w:val="7"/>
        <w:widowControl/>
        <w:spacing w:beforeAutospacing="0" w:afterAutospacing="0"/>
        <w:jc w:val="center"/>
        <w:rPr>
          <w:rFonts w:ascii="Times New Roman" w:hAnsi="Times New Roman" w:eastAsia="仿宋_GB2312"/>
          <w:color w:val="0000FF"/>
          <w:sz w:val="21"/>
          <w:szCs w:val="21"/>
        </w:rPr>
      </w:pPr>
    </w:p>
    <w:p>
      <w:pPr>
        <w:pStyle w:val="7"/>
        <w:widowControl/>
        <w:spacing w:beforeAutospacing="0" w:afterAutospacing="0"/>
        <w:jc w:val="center"/>
        <w:rPr>
          <w:rFonts w:ascii="Times New Roman" w:hAnsi="Times New Roman" w:eastAsia="仿宋_GB2312"/>
          <w:color w:val="0000FF"/>
          <w:sz w:val="21"/>
          <w:szCs w:val="21"/>
        </w:rPr>
      </w:pPr>
    </w:p>
    <w:p>
      <w:pPr>
        <w:pStyle w:val="7"/>
        <w:widowControl/>
        <w:spacing w:beforeAutospacing="0" w:afterAutospacing="0"/>
        <w:jc w:val="center"/>
        <w:rPr>
          <w:rFonts w:ascii="Times New Roman" w:hAnsi="Times New Roman" w:eastAsia="仿宋_GB2312"/>
          <w:color w:val="0000FF"/>
          <w:sz w:val="21"/>
          <w:szCs w:val="21"/>
        </w:rPr>
      </w:pPr>
    </w:p>
    <w:p>
      <w:pPr>
        <w:pStyle w:val="7"/>
        <w:widowControl/>
        <w:spacing w:beforeAutospacing="0" w:afterAutospacing="0"/>
        <w:jc w:val="center"/>
        <w:rPr>
          <w:rFonts w:ascii="Times New Roman" w:hAnsi="Times New Roman" w:eastAsia="仿宋_GB2312"/>
          <w:color w:val="0000FF"/>
          <w:sz w:val="21"/>
          <w:szCs w:val="21"/>
        </w:rPr>
      </w:pPr>
    </w:p>
    <w:p>
      <w:pPr>
        <w:pStyle w:val="7"/>
        <w:widowControl/>
        <w:spacing w:beforeAutospacing="0" w:afterAutospacing="0"/>
        <w:jc w:val="center"/>
        <w:rPr>
          <w:rFonts w:ascii="Times New Roman" w:hAnsi="Times New Roman" w:eastAsia="仿宋_GB2312"/>
          <w:color w:val="0000FF"/>
          <w:sz w:val="21"/>
          <w:szCs w:val="21"/>
        </w:rPr>
      </w:pPr>
    </w:p>
    <w:p>
      <w:pPr>
        <w:pStyle w:val="7"/>
        <w:widowControl/>
        <w:spacing w:beforeAutospacing="0" w:afterAutospacing="0"/>
        <w:jc w:val="center"/>
        <w:rPr>
          <w:rFonts w:ascii="Times New Roman" w:hAnsi="Times New Roman" w:eastAsia="仿宋_GB2312"/>
          <w:color w:val="0000FF"/>
          <w:sz w:val="21"/>
          <w:szCs w:val="21"/>
        </w:rPr>
      </w:pPr>
    </w:p>
    <w:p>
      <w:pPr>
        <w:pStyle w:val="7"/>
        <w:widowControl/>
        <w:spacing w:beforeAutospacing="0" w:afterAutospacing="0"/>
        <w:jc w:val="center"/>
        <w:rPr>
          <w:rFonts w:ascii="Times New Roman" w:hAnsi="Times New Roman" w:eastAsia="仿宋_GB2312"/>
          <w:color w:val="0000FF"/>
          <w:sz w:val="21"/>
          <w:szCs w:val="21"/>
        </w:rPr>
      </w:pPr>
    </w:p>
    <w:p>
      <w:pPr>
        <w:jc w:val="center"/>
        <w:rPr>
          <w:rStyle w:val="11"/>
          <w:kern w:val="0"/>
          <w:sz w:val="24"/>
        </w:rPr>
      </w:pPr>
    </w:p>
    <w:p>
      <w:pPr>
        <w:jc w:val="center"/>
        <w:rPr>
          <w:rStyle w:val="11"/>
          <w:kern w:val="0"/>
          <w:sz w:val="24"/>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————————————————（分割线）—————————————————</w:t>
      </w:r>
    </w:p>
    <w:p>
      <w:pPr>
        <w:jc w:val="center"/>
        <w:rPr>
          <w:rStyle w:val="11"/>
          <w:kern w:val="0"/>
          <w:sz w:val="24"/>
        </w:rPr>
      </w:pPr>
    </w:p>
    <w:p>
      <w:pPr>
        <w:jc w:val="center"/>
        <w:rPr>
          <w:rStyle w:val="11"/>
          <w:kern w:val="0"/>
          <w:sz w:val="24"/>
        </w:rPr>
      </w:pPr>
      <w:r>
        <w:rPr>
          <w:rStyle w:val="11"/>
          <w:rFonts w:hint="eastAsia"/>
          <w:kern w:val="0"/>
          <w:sz w:val="24"/>
        </w:rPr>
        <w:t>引才诚意</w:t>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2019年新增就业大学生</w:t>
      </w:r>
      <w:r>
        <w:rPr>
          <w:rFonts w:hint="eastAsia" w:ascii="Times New Roman" w:hAnsi="Times New Roman" w:eastAsia="仿宋_GB2312"/>
          <w:b/>
          <w:sz w:val="21"/>
          <w:szCs w:val="21"/>
        </w:rPr>
        <w:t>10.3万</w:t>
      </w:r>
      <w:r>
        <w:rPr>
          <w:rFonts w:hint="eastAsia" w:ascii="Times New Roman" w:hAnsi="Times New Roman" w:eastAsia="仿宋_GB2312"/>
          <w:sz w:val="21"/>
          <w:szCs w:val="21"/>
        </w:rPr>
        <w:t>名</w:t>
      </w: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t>跻身</w:t>
      </w:r>
      <w:r>
        <w:rPr>
          <w:rFonts w:hint="eastAsia" w:ascii="Times New Roman" w:hAnsi="Times New Roman" w:eastAsia="仿宋_GB2312"/>
          <w:sz w:val="21"/>
          <w:szCs w:val="21"/>
        </w:rPr>
        <w:t>浙江省</w:t>
      </w:r>
      <w:r>
        <w:rPr>
          <w:rFonts w:ascii="Times New Roman" w:hAnsi="Times New Roman" w:eastAsia="仿宋_GB2312"/>
          <w:b/>
          <w:sz w:val="21"/>
          <w:szCs w:val="21"/>
        </w:rPr>
        <w:t>最受大学生欢迎城市</w:t>
      </w:r>
      <w:r>
        <w:rPr>
          <w:rFonts w:hint="eastAsia" w:ascii="Times New Roman" w:hAnsi="Times New Roman" w:eastAsia="仿宋_GB2312"/>
          <w:b/>
          <w:sz w:val="21"/>
          <w:szCs w:val="21"/>
        </w:rPr>
        <w:t>前三名</w:t>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出台人才新政3.0版</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建成</w:t>
      </w:r>
      <w:r>
        <w:rPr>
          <w:rFonts w:hint="eastAsia" w:ascii="Times New Roman" w:hAnsi="Times New Roman" w:eastAsia="仿宋_GB2312"/>
          <w:b/>
          <w:sz w:val="21"/>
          <w:szCs w:val="21"/>
        </w:rPr>
        <w:t>全省首家人才服务综合体</w:t>
      </w:r>
      <w:r>
        <w:rPr>
          <w:rFonts w:hint="eastAsia" w:ascii="Times New Roman" w:hAnsi="Times New Roman" w:eastAsia="仿宋_GB2312"/>
          <w:sz w:val="21"/>
          <w:szCs w:val="21"/>
        </w:rPr>
        <w:t>——</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海智汇·绍兴国际人才创业创新服务中心</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政策“一网通办”</w:t>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Style w:val="11"/>
          <w:sz w:val="25"/>
          <w:szCs w:val="25"/>
        </w:rPr>
      </w:pPr>
    </w:p>
    <w:p>
      <w:pPr>
        <w:pStyle w:val="7"/>
        <w:widowControl/>
        <w:spacing w:beforeAutospacing="0" w:afterAutospacing="0" w:line="315" w:lineRule="atLeast"/>
        <w:jc w:val="center"/>
        <w:rPr>
          <w:rStyle w:val="11"/>
          <w:rFonts w:ascii="宋体" w:hAnsi="宋体" w:eastAsia="宋体" w:cs="宋体"/>
          <w:color w:val="000000"/>
        </w:rPr>
      </w:pPr>
      <w:r>
        <w:rPr>
          <w:rStyle w:val="11"/>
          <w:rFonts w:hint="eastAsia" w:ascii="宋体" w:hAnsi="宋体" w:eastAsia="宋体" w:cs="宋体"/>
          <w:color w:val="000000"/>
        </w:rPr>
        <w:t>引才政策大礼包</w:t>
      </w:r>
    </w:p>
    <w:p>
      <w:pPr>
        <w:pStyle w:val="7"/>
        <w:widowControl/>
        <w:spacing w:beforeAutospacing="0" w:afterAutospacing="0"/>
        <w:rPr>
          <w:rFonts w:ascii="Times New Roman" w:hAnsi="Times New Roman" w:eastAsia="仿宋_GB2312"/>
          <w:sz w:val="21"/>
          <w:szCs w:val="21"/>
        </w:rPr>
      </w:pPr>
      <w:r>
        <w:rPr>
          <w:rFonts w:hint="eastAsia" w:ascii="Times New Roman" w:hAnsi="Times New Roman" w:eastAsia="仿宋_GB2312"/>
          <w:sz w:val="21"/>
          <w:szCs w:val="21"/>
        </w:rPr>
        <w:t>一、见习实习篇（食宿全包+交通补贴 ）</w:t>
      </w:r>
    </w:p>
    <w:p>
      <w:pPr>
        <w:pStyle w:val="7"/>
        <w:widowControl/>
        <w:spacing w:beforeAutospacing="0" w:afterAutospacing="0"/>
        <w:rPr>
          <w:rFonts w:ascii="Times New Roman" w:hAnsi="Times New Roman" w:eastAsia="仿宋_GB2312"/>
          <w:sz w:val="21"/>
          <w:szCs w:val="21"/>
        </w:rPr>
      </w:pPr>
      <w:r>
        <w:rPr>
          <w:rFonts w:hint="eastAsia" w:ascii="Times New Roman" w:hAnsi="Times New Roman" w:eastAsia="仿宋_GB2312"/>
          <w:sz w:val="21"/>
          <w:szCs w:val="21"/>
        </w:rPr>
        <w:t>1、大学生来绍参加人才交流活动补贴</w:t>
      </w:r>
    </w:p>
    <w:p>
      <w:pPr>
        <w:pStyle w:val="7"/>
        <w:widowControl/>
        <w:spacing w:beforeAutospacing="0" w:afterAutospacing="0"/>
        <w:rPr>
          <w:rFonts w:ascii="Times New Roman" w:hAnsi="Times New Roman" w:eastAsia="仿宋_GB2312"/>
          <w:sz w:val="21"/>
          <w:szCs w:val="21"/>
        </w:rPr>
      </w:pPr>
      <w:r>
        <w:rPr>
          <w:rFonts w:hint="eastAsia" w:ascii="Times New Roman" w:hAnsi="Times New Roman" w:eastAsia="仿宋_GB2312"/>
          <w:sz w:val="21"/>
          <w:szCs w:val="21"/>
        </w:rPr>
        <w:t>受邀参加应聘求职、短期实习（不超过1个月）等人才交流活动的高校在校生，</w:t>
      </w:r>
      <w:r>
        <w:rPr>
          <w:rFonts w:hint="eastAsia" w:ascii="Times New Roman" w:hAnsi="Times New Roman" w:eastAsia="仿宋_GB2312"/>
          <w:b/>
          <w:sz w:val="21"/>
          <w:szCs w:val="21"/>
        </w:rPr>
        <w:t>给予200—1500元交通补贴</w:t>
      </w:r>
      <w:r>
        <w:rPr>
          <w:rFonts w:hint="eastAsia" w:ascii="Times New Roman" w:hAnsi="Times New Roman" w:eastAsia="仿宋_GB2312"/>
          <w:sz w:val="21"/>
          <w:szCs w:val="21"/>
        </w:rPr>
        <w:t>，并按</w:t>
      </w:r>
      <w:r>
        <w:rPr>
          <w:rFonts w:hint="eastAsia" w:ascii="Times New Roman" w:hAnsi="Times New Roman" w:eastAsia="仿宋_GB2312"/>
          <w:b/>
          <w:sz w:val="21"/>
          <w:szCs w:val="21"/>
        </w:rPr>
        <w:t>每人每天150元标准安排食宿</w:t>
      </w:r>
      <w:r>
        <w:rPr>
          <w:rFonts w:hint="eastAsia" w:ascii="Times New Roman" w:hAnsi="Times New Roman" w:eastAsia="仿宋_GB2312"/>
          <w:sz w:val="21"/>
          <w:szCs w:val="21"/>
        </w:rPr>
        <w:t>。</w:t>
      </w:r>
    </w:p>
    <w:p>
      <w:pPr>
        <w:pStyle w:val="7"/>
        <w:widowControl/>
        <w:spacing w:beforeAutospacing="0" w:afterAutospacing="0"/>
        <w:rPr>
          <w:rFonts w:ascii="Times New Roman" w:hAnsi="Times New Roman" w:eastAsia="仿宋_GB2312"/>
          <w:sz w:val="21"/>
          <w:szCs w:val="21"/>
        </w:rPr>
      </w:pPr>
      <w:r>
        <w:rPr>
          <w:rFonts w:hint="eastAsia" w:ascii="Times New Roman" w:hAnsi="Times New Roman" w:eastAsia="仿宋_GB2312"/>
          <w:sz w:val="21"/>
          <w:szCs w:val="21"/>
        </w:rPr>
        <w:t>2、大学生实习见习补贴</w:t>
      </w:r>
    </w:p>
    <w:p>
      <w:pPr>
        <w:pStyle w:val="7"/>
        <w:widowControl/>
        <w:spacing w:beforeAutospacing="0" w:afterAutospacing="0"/>
        <w:rPr>
          <w:rFonts w:ascii="Times New Roman" w:hAnsi="Times New Roman" w:eastAsia="仿宋_GB2312"/>
          <w:sz w:val="21"/>
          <w:szCs w:val="21"/>
        </w:rPr>
      </w:pPr>
      <w:r>
        <w:rPr>
          <w:rFonts w:hint="eastAsia" w:ascii="Times New Roman" w:hAnsi="Times New Roman" w:eastAsia="仿宋_GB2312"/>
          <w:sz w:val="21"/>
          <w:szCs w:val="21"/>
        </w:rPr>
        <w:t>对来绍见习实习（1个月以上）的高校在校生，给予相应交通补贴，并按照专科（高职）、本科及以上分别为</w:t>
      </w:r>
      <w:r>
        <w:rPr>
          <w:rFonts w:hint="eastAsia" w:ascii="Times New Roman" w:hAnsi="Times New Roman" w:eastAsia="仿宋_GB2312"/>
          <w:b/>
          <w:sz w:val="21"/>
          <w:szCs w:val="21"/>
        </w:rPr>
        <w:t>地方最低工资标准的60%、80%</w:t>
      </w:r>
      <w:r>
        <w:rPr>
          <w:rFonts w:hint="eastAsia" w:ascii="Times New Roman" w:hAnsi="Times New Roman" w:eastAsia="仿宋_GB2312"/>
          <w:sz w:val="21"/>
          <w:szCs w:val="21"/>
        </w:rPr>
        <w:t>，给予接收企业最长12个月的见习实习补贴。</w:t>
      </w:r>
    </w:p>
    <w:p>
      <w:pPr>
        <w:pStyle w:val="7"/>
        <w:widowControl/>
        <w:spacing w:beforeAutospacing="0" w:afterAutospacing="0"/>
        <w:rPr>
          <w:rFonts w:ascii="Times New Roman" w:hAnsi="Times New Roman" w:eastAsia="仿宋_GB2312"/>
          <w:sz w:val="21"/>
          <w:szCs w:val="21"/>
        </w:rPr>
      </w:pPr>
      <w:r>
        <w:rPr>
          <w:rFonts w:ascii="Times New Roman" w:hAnsi="Times New Roman" w:eastAsia="仿宋_GB2312"/>
          <w:sz w:val="21"/>
          <w:szCs w:val="21"/>
        </w:rPr>
        <w:drawing>
          <wp:anchor distT="0" distB="0" distL="114300" distR="114300" simplePos="0" relativeHeight="251782144" behindDoc="0" locked="0" layoutInCell="1" allowOverlap="1">
            <wp:simplePos x="0" y="0"/>
            <wp:positionH relativeFrom="column">
              <wp:posOffset>73660</wp:posOffset>
            </wp:positionH>
            <wp:positionV relativeFrom="paragraph">
              <wp:posOffset>43815</wp:posOffset>
            </wp:positionV>
            <wp:extent cx="4438650" cy="1395095"/>
            <wp:effectExtent l="19050" t="0" r="0" b="0"/>
            <wp:wrapNone/>
            <wp:docPr id="14" name="图片 0" descr="1交通补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0" descr="1交通补贴.jpg"/>
                    <pic:cNvPicPr>
                      <a:picLocks noChangeAspect="1"/>
                    </pic:cNvPicPr>
                  </pic:nvPicPr>
                  <pic:blipFill>
                    <a:blip r:embed="rId13" cstate="print"/>
                    <a:stretch>
                      <a:fillRect/>
                    </a:stretch>
                  </pic:blipFill>
                  <pic:spPr>
                    <a:xfrm>
                      <a:off x="0" y="0"/>
                      <a:ext cx="4438650" cy="1395095"/>
                    </a:xfrm>
                    <a:prstGeom prst="rect">
                      <a:avLst/>
                    </a:prstGeom>
                  </pic:spPr>
                </pic:pic>
              </a:graphicData>
            </a:graphic>
          </wp:anchor>
        </w:drawing>
      </w:r>
    </w:p>
    <w:p>
      <w:pPr>
        <w:pStyle w:val="7"/>
        <w:widowControl/>
        <w:spacing w:beforeAutospacing="0" w:afterAutospacing="0"/>
      </w:pPr>
    </w:p>
    <w:p>
      <w:pPr>
        <w:pStyle w:val="7"/>
        <w:widowControl/>
        <w:spacing w:beforeAutospacing="0" w:afterAutospacing="0"/>
        <w:jc w:val="center"/>
      </w:pPr>
    </w:p>
    <w:p>
      <w:pPr>
        <w:pStyle w:val="7"/>
        <w:widowControl/>
        <w:spacing w:beforeAutospacing="0" w:afterAutospacing="0"/>
        <w:jc w:val="center"/>
      </w:pPr>
    </w:p>
    <w:p>
      <w:pPr>
        <w:pStyle w:val="7"/>
        <w:widowControl/>
        <w:spacing w:beforeAutospacing="0" w:afterAutospacing="0"/>
        <w:jc w:val="center"/>
      </w:pPr>
    </w:p>
    <w:p>
      <w:pPr>
        <w:pStyle w:val="7"/>
        <w:widowControl/>
        <w:spacing w:beforeAutospacing="0" w:afterAutospacing="0"/>
        <w:rPr>
          <w:rFonts w:ascii="Times New Roman" w:hAnsi="Times New Roman" w:eastAsia="仿宋_GB2312"/>
          <w:sz w:val="21"/>
          <w:szCs w:val="21"/>
        </w:rPr>
      </w:pPr>
    </w:p>
    <w:p>
      <w:pPr>
        <w:pStyle w:val="7"/>
        <w:widowControl/>
        <w:spacing w:beforeAutospacing="0" w:afterAutospacing="0"/>
        <w:rPr>
          <w:rFonts w:ascii="Times New Roman" w:hAnsi="Times New Roman" w:eastAsia="仿宋_GB2312"/>
          <w:sz w:val="21"/>
          <w:szCs w:val="21"/>
        </w:rPr>
      </w:pPr>
    </w:p>
    <w:p>
      <w:pPr>
        <w:pStyle w:val="7"/>
        <w:widowControl/>
        <w:spacing w:beforeAutospacing="0" w:afterAutospacing="0"/>
        <w:rPr>
          <w:rFonts w:ascii="Times New Roman" w:hAnsi="Times New Roman" w:eastAsia="仿宋_GB2312"/>
          <w:sz w:val="21"/>
          <w:szCs w:val="21"/>
        </w:rPr>
      </w:pPr>
      <w:r>
        <w:rPr>
          <w:rFonts w:hint="eastAsia" w:ascii="Times New Roman" w:hAnsi="Times New Roman" w:eastAsia="仿宋_GB2312"/>
          <w:sz w:val="21"/>
          <w:szCs w:val="21"/>
        </w:rPr>
        <w:t>二、就业篇(房子户口＋安家补贴）</w:t>
      </w:r>
    </w:p>
    <w:p>
      <w:pPr>
        <w:pStyle w:val="7"/>
        <w:widowControl/>
        <w:spacing w:beforeAutospacing="0" w:afterAutospacing="0"/>
        <w:rPr>
          <w:rFonts w:ascii="Times New Roman" w:hAnsi="Times New Roman" w:eastAsia="仿宋_GB2312"/>
          <w:sz w:val="21"/>
          <w:szCs w:val="21"/>
        </w:rPr>
      </w:pPr>
      <w:r>
        <w:rPr>
          <w:rFonts w:hint="eastAsia" w:ascii="Times New Roman" w:hAnsi="Times New Roman" w:eastAsia="仿宋_GB2312"/>
          <w:sz w:val="21"/>
          <w:szCs w:val="21"/>
        </w:rPr>
        <w:t>1、房票、安家补贴、住房租赁补贴</w:t>
      </w:r>
    </w:p>
    <w:p>
      <w:pPr>
        <w:pStyle w:val="7"/>
        <w:widowControl/>
        <w:spacing w:beforeAutospacing="0" w:afterAutospacing="0"/>
        <w:rPr>
          <w:rFonts w:ascii="Times New Roman" w:hAnsi="Times New Roman" w:eastAsia="仿宋_GB2312"/>
          <w:b/>
          <w:sz w:val="21"/>
          <w:szCs w:val="21"/>
        </w:rPr>
      </w:pPr>
      <w:r>
        <w:rPr>
          <w:rFonts w:hint="eastAsia" w:ascii="Times New Roman" w:hAnsi="Times New Roman" w:eastAsia="仿宋_GB2312"/>
          <w:b/>
          <w:sz w:val="21"/>
          <w:szCs w:val="21"/>
        </w:rPr>
        <w:t>房票补贴（一次性足额支付）：博士35-50万元、硕士15-30万元、双一流本科10-20万元、普通本科3-10万；</w:t>
      </w:r>
    </w:p>
    <w:p>
      <w:pPr>
        <w:pStyle w:val="7"/>
        <w:widowControl/>
        <w:spacing w:beforeAutospacing="0" w:afterAutospacing="0"/>
        <w:rPr>
          <w:rFonts w:ascii="Times New Roman" w:hAnsi="Times New Roman" w:eastAsia="仿宋_GB2312"/>
          <w:b/>
          <w:sz w:val="21"/>
          <w:szCs w:val="21"/>
        </w:rPr>
      </w:pPr>
      <w:r>
        <w:rPr>
          <w:rFonts w:hint="eastAsia" w:ascii="Times New Roman" w:hAnsi="Times New Roman" w:eastAsia="仿宋_GB2312"/>
          <w:b/>
          <w:sz w:val="21"/>
          <w:szCs w:val="21"/>
        </w:rPr>
        <w:t>安家补贴（连续补3年）：博士3-5万元/年、硕士及双一流本科2-3万元/年、普通本科1-2万元/年、专科高职0.6-1.5万元/年。</w:t>
      </w:r>
    </w:p>
    <w:p>
      <w:pPr>
        <w:pStyle w:val="7"/>
        <w:widowControl/>
        <w:spacing w:beforeAutospacing="0" w:afterAutospacing="0"/>
        <w:rPr>
          <w:rFonts w:ascii="Times New Roman" w:hAnsi="Times New Roman" w:eastAsia="仿宋_GB2312"/>
          <w:b/>
          <w:sz w:val="21"/>
          <w:szCs w:val="21"/>
        </w:rPr>
      </w:pPr>
      <w:r>
        <w:rPr>
          <w:rFonts w:hint="eastAsia" w:ascii="Times New Roman" w:hAnsi="Times New Roman" w:eastAsia="仿宋_GB2312"/>
          <w:b/>
          <w:sz w:val="21"/>
          <w:szCs w:val="21"/>
        </w:rPr>
        <w:t>住房租赁补贴（不超过3年）：本科以上0.6万元/年、专科（高职）0.36万元/年。可与安家补贴同时享受。</w:t>
      </w:r>
    </w:p>
    <w:p>
      <w:pPr>
        <w:pStyle w:val="7"/>
        <w:widowControl/>
        <w:spacing w:beforeAutospacing="0" w:afterAutospacing="0"/>
        <w:rPr>
          <w:rFonts w:ascii="Times New Roman" w:hAnsi="Times New Roman" w:eastAsia="仿宋_GB2312"/>
          <w:sz w:val="21"/>
          <w:szCs w:val="21"/>
        </w:rPr>
      </w:pPr>
      <w:r>
        <w:rPr>
          <w:rFonts w:hint="eastAsia" w:ascii="Times New Roman" w:hAnsi="Times New Roman" w:eastAsia="仿宋_GB2312"/>
          <w:sz w:val="21"/>
          <w:szCs w:val="21"/>
        </w:rPr>
        <w:t>2、企业人才集合年金   </w:t>
      </w:r>
    </w:p>
    <w:p>
      <w:pPr>
        <w:pStyle w:val="7"/>
        <w:widowControl/>
        <w:spacing w:beforeAutospacing="0" w:afterAutospacing="0"/>
        <w:rPr>
          <w:rFonts w:ascii="Times New Roman" w:hAnsi="Times New Roman" w:eastAsia="仿宋_GB2312"/>
          <w:sz w:val="21"/>
          <w:szCs w:val="21"/>
        </w:rPr>
      </w:pPr>
      <w:r>
        <w:rPr>
          <w:rFonts w:hint="eastAsia" w:ascii="Times New Roman" w:hAnsi="Times New Roman" w:eastAsia="仿宋_GB2312"/>
          <w:sz w:val="21"/>
          <w:szCs w:val="21"/>
        </w:rPr>
        <w:t>博士给予1万/年，硕士及双一流本科给予0.8万/年，补贴5年。</w:t>
      </w:r>
    </w:p>
    <w:p>
      <w:pPr>
        <w:pStyle w:val="7"/>
        <w:widowControl/>
        <w:spacing w:beforeAutospacing="0" w:afterAutospacing="0"/>
        <w:rPr>
          <w:rFonts w:ascii="Times New Roman" w:hAnsi="Times New Roman" w:eastAsia="仿宋_GB2312"/>
          <w:sz w:val="21"/>
          <w:szCs w:val="21"/>
        </w:rPr>
      </w:pPr>
      <w:r>
        <w:rPr>
          <w:rFonts w:hint="eastAsia" w:ascii="Times New Roman" w:hAnsi="Times New Roman" w:eastAsia="仿宋_GB2312"/>
          <w:sz w:val="21"/>
          <w:szCs w:val="21"/>
        </w:rPr>
        <w:t>3、</w:t>
      </w:r>
      <w:r>
        <w:rPr>
          <w:rFonts w:hint="eastAsia" w:ascii="Times New Roman" w:hAnsi="Times New Roman" w:eastAsia="仿宋_GB2312"/>
          <w:b/>
          <w:sz w:val="21"/>
          <w:szCs w:val="21"/>
        </w:rPr>
        <w:t>零门槛落户</w:t>
      </w:r>
    </w:p>
    <w:p>
      <w:pPr>
        <w:pStyle w:val="7"/>
        <w:widowControl/>
        <w:spacing w:beforeAutospacing="0" w:afterAutospacing="0"/>
        <w:rPr>
          <w:rFonts w:ascii="Times New Roman" w:hAnsi="Times New Roman" w:eastAsia="仿宋_GB2312"/>
          <w:sz w:val="21"/>
          <w:szCs w:val="21"/>
        </w:rPr>
      </w:pPr>
      <w:r>
        <w:rPr>
          <w:rFonts w:hint="eastAsia" w:ascii="Times New Roman" w:hAnsi="Times New Roman" w:eastAsia="仿宋_GB2312"/>
          <w:sz w:val="21"/>
          <w:szCs w:val="21"/>
        </w:rPr>
        <w:t>取得大专及以上学历的全日制普通高等院校毕业生来绍可以先落户后就业，配偶、子女和双方父母可以随迁落户。</w:t>
      </w:r>
    </w:p>
    <w:p>
      <w:pPr>
        <w:pStyle w:val="7"/>
        <w:widowControl/>
        <w:spacing w:beforeAutospacing="0" w:afterAutospacing="0"/>
      </w:pPr>
    </w:p>
    <w:tbl>
      <w:tblPr>
        <w:tblStyle w:val="9"/>
        <w:tblpPr w:leftFromText="180" w:rightFromText="180" w:vertAnchor="text" w:horzAnchor="margin" w:tblpY="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600"/>
        <w:gridCol w:w="1944"/>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jc w:val="center"/>
              <w:rPr>
                <w:rStyle w:val="11"/>
                <w:kern w:val="0"/>
                <w:sz w:val="24"/>
              </w:rPr>
            </w:pPr>
            <w:r>
              <w:rPr>
                <w:rStyle w:val="11"/>
                <w:rFonts w:hint="eastAsia"/>
                <w:kern w:val="0"/>
                <w:sz w:val="24"/>
              </w:rPr>
              <w:t>人才类别</w:t>
            </w:r>
          </w:p>
        </w:tc>
        <w:tc>
          <w:tcPr>
            <w:tcW w:w="1600" w:type="dxa"/>
            <w:vAlign w:val="center"/>
          </w:tcPr>
          <w:p>
            <w:pPr>
              <w:jc w:val="center"/>
              <w:rPr>
                <w:rStyle w:val="11"/>
                <w:kern w:val="0"/>
                <w:sz w:val="24"/>
              </w:rPr>
            </w:pPr>
            <w:r>
              <w:rPr>
                <w:rStyle w:val="11"/>
                <w:rFonts w:hint="eastAsia"/>
                <w:kern w:val="0"/>
                <w:sz w:val="24"/>
              </w:rPr>
              <w:t>房票补贴</w:t>
            </w:r>
          </w:p>
        </w:tc>
        <w:tc>
          <w:tcPr>
            <w:tcW w:w="1944" w:type="dxa"/>
            <w:vAlign w:val="center"/>
          </w:tcPr>
          <w:p>
            <w:pPr>
              <w:jc w:val="center"/>
              <w:rPr>
                <w:rStyle w:val="11"/>
                <w:kern w:val="0"/>
                <w:sz w:val="24"/>
              </w:rPr>
            </w:pPr>
            <w:r>
              <w:rPr>
                <w:rStyle w:val="11"/>
                <w:rFonts w:hint="eastAsia"/>
                <w:kern w:val="0"/>
                <w:sz w:val="24"/>
              </w:rPr>
              <w:t>安家补贴</w:t>
            </w:r>
          </w:p>
          <w:p>
            <w:pPr>
              <w:jc w:val="center"/>
              <w:rPr>
                <w:rStyle w:val="11"/>
                <w:kern w:val="0"/>
                <w:sz w:val="24"/>
              </w:rPr>
            </w:pPr>
            <w:r>
              <w:rPr>
                <w:rStyle w:val="11"/>
                <w:rFonts w:hint="eastAsia"/>
                <w:kern w:val="0"/>
                <w:sz w:val="24"/>
              </w:rPr>
              <w:t>（补贴3年）</w:t>
            </w:r>
          </w:p>
        </w:tc>
        <w:tc>
          <w:tcPr>
            <w:tcW w:w="2318" w:type="dxa"/>
            <w:vAlign w:val="center"/>
          </w:tcPr>
          <w:p>
            <w:pPr>
              <w:jc w:val="center"/>
              <w:rPr>
                <w:rStyle w:val="11"/>
                <w:kern w:val="0"/>
                <w:sz w:val="24"/>
              </w:rPr>
            </w:pPr>
            <w:r>
              <w:rPr>
                <w:rStyle w:val="11"/>
                <w:rFonts w:hint="eastAsia"/>
                <w:kern w:val="0"/>
                <w:sz w:val="24"/>
              </w:rPr>
              <w:t>企业人才集合年金（补贴3年）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全日制博士</w:t>
            </w:r>
          </w:p>
        </w:tc>
        <w:tc>
          <w:tcPr>
            <w:tcW w:w="1600"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35-50万元</w:t>
            </w:r>
          </w:p>
        </w:tc>
        <w:tc>
          <w:tcPr>
            <w:tcW w:w="1944"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3-5万元/年</w:t>
            </w:r>
          </w:p>
        </w:tc>
        <w:tc>
          <w:tcPr>
            <w:tcW w:w="2318" w:type="dxa"/>
            <w:vAlign w:val="center"/>
          </w:tcPr>
          <w:p>
            <w:pPr>
              <w:jc w:val="center"/>
              <w:rPr>
                <w:rStyle w:val="11"/>
                <w:rFonts w:asciiTheme="minorEastAsia" w:hAnsiTheme="minorEastAsia"/>
                <w:b w:val="0"/>
                <w:kern w:val="0"/>
                <w:szCs w:val="21"/>
              </w:rPr>
            </w:pPr>
            <w:r>
              <w:rPr>
                <w:rFonts w:hint="eastAsia" w:asciiTheme="minorEastAsia" w:hAnsiTheme="minorEastAsia"/>
                <w:szCs w:val="21"/>
              </w:rPr>
              <w:t>1万元/年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全日制硕士</w:t>
            </w:r>
          </w:p>
        </w:tc>
        <w:tc>
          <w:tcPr>
            <w:tcW w:w="1600"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15-30万元</w:t>
            </w:r>
          </w:p>
        </w:tc>
        <w:tc>
          <w:tcPr>
            <w:tcW w:w="1944" w:type="dxa"/>
            <w:vMerge w:val="restart"/>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2-3万元/年</w:t>
            </w:r>
          </w:p>
        </w:tc>
        <w:tc>
          <w:tcPr>
            <w:tcW w:w="2318" w:type="dxa"/>
            <w:vMerge w:val="restart"/>
            <w:vAlign w:val="center"/>
          </w:tcPr>
          <w:p>
            <w:pPr>
              <w:jc w:val="center"/>
              <w:rPr>
                <w:rStyle w:val="11"/>
                <w:rFonts w:asciiTheme="minorEastAsia" w:hAnsiTheme="minorEastAsia"/>
                <w:b w:val="0"/>
                <w:kern w:val="0"/>
                <w:szCs w:val="21"/>
              </w:rPr>
            </w:pPr>
            <w:r>
              <w:rPr>
                <w:rFonts w:hint="eastAsia" w:asciiTheme="minorEastAsia" w:hAnsiTheme="minorEastAsia"/>
                <w:szCs w:val="21"/>
              </w:rPr>
              <w:t>0.8万元/年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“双一流”全日制本科</w:t>
            </w:r>
          </w:p>
        </w:tc>
        <w:tc>
          <w:tcPr>
            <w:tcW w:w="1600"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10-20万元</w:t>
            </w:r>
          </w:p>
        </w:tc>
        <w:tc>
          <w:tcPr>
            <w:tcW w:w="1944" w:type="dxa"/>
            <w:vMerge w:val="continue"/>
            <w:vAlign w:val="center"/>
          </w:tcPr>
          <w:p>
            <w:pPr>
              <w:jc w:val="center"/>
              <w:rPr>
                <w:rStyle w:val="11"/>
                <w:rFonts w:asciiTheme="minorEastAsia" w:hAnsiTheme="minorEastAsia"/>
                <w:b w:val="0"/>
                <w:kern w:val="0"/>
                <w:szCs w:val="21"/>
              </w:rPr>
            </w:pPr>
          </w:p>
        </w:tc>
        <w:tc>
          <w:tcPr>
            <w:tcW w:w="2318" w:type="dxa"/>
            <w:vMerge w:val="continue"/>
            <w:vAlign w:val="center"/>
          </w:tcPr>
          <w:p>
            <w:pPr>
              <w:jc w:val="center"/>
              <w:rPr>
                <w:rStyle w:val="11"/>
                <w:rFonts w:asciiTheme="minorEastAsia" w:hAnsiTheme="minorEastAsia"/>
                <w:b w:val="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其他全日制本科</w:t>
            </w:r>
          </w:p>
        </w:tc>
        <w:tc>
          <w:tcPr>
            <w:tcW w:w="1600"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3-10万元</w:t>
            </w:r>
          </w:p>
        </w:tc>
        <w:tc>
          <w:tcPr>
            <w:tcW w:w="1944" w:type="dxa"/>
            <w:vAlign w:val="center"/>
          </w:tcPr>
          <w:p>
            <w:pPr>
              <w:jc w:val="center"/>
              <w:rPr>
                <w:rStyle w:val="11"/>
                <w:rFonts w:asciiTheme="minorEastAsia" w:hAnsiTheme="minorEastAsia"/>
                <w:b w:val="0"/>
                <w:kern w:val="0"/>
                <w:szCs w:val="21"/>
              </w:rPr>
            </w:pPr>
            <w:r>
              <w:rPr>
                <w:rFonts w:hint="eastAsia" w:asciiTheme="minorEastAsia" w:hAnsiTheme="minorEastAsia"/>
                <w:szCs w:val="21"/>
              </w:rPr>
              <w:t>1-2万元/年</w:t>
            </w:r>
          </w:p>
        </w:tc>
        <w:tc>
          <w:tcPr>
            <w:tcW w:w="2318"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全日制专科高职</w:t>
            </w:r>
          </w:p>
        </w:tc>
        <w:tc>
          <w:tcPr>
            <w:tcW w:w="1600"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w:t>
            </w:r>
          </w:p>
        </w:tc>
        <w:tc>
          <w:tcPr>
            <w:tcW w:w="1944" w:type="dxa"/>
            <w:vAlign w:val="center"/>
          </w:tcPr>
          <w:p>
            <w:pPr>
              <w:jc w:val="center"/>
              <w:rPr>
                <w:rStyle w:val="11"/>
                <w:rFonts w:asciiTheme="minorEastAsia" w:hAnsiTheme="minorEastAsia"/>
                <w:b w:val="0"/>
                <w:kern w:val="0"/>
                <w:szCs w:val="21"/>
              </w:rPr>
            </w:pPr>
            <w:r>
              <w:rPr>
                <w:rFonts w:hint="eastAsia" w:asciiTheme="minorEastAsia" w:hAnsiTheme="minorEastAsia"/>
                <w:szCs w:val="21"/>
              </w:rPr>
              <w:t>0.6-1.5万元/年</w:t>
            </w:r>
          </w:p>
        </w:tc>
        <w:tc>
          <w:tcPr>
            <w:tcW w:w="2318" w:type="dxa"/>
            <w:vAlign w:val="center"/>
          </w:tcPr>
          <w:p>
            <w:pPr>
              <w:jc w:val="center"/>
              <w:rPr>
                <w:rStyle w:val="11"/>
                <w:rFonts w:asciiTheme="minorEastAsia" w:hAnsiTheme="minorEastAsia"/>
                <w:b w:val="0"/>
                <w:kern w:val="0"/>
                <w:szCs w:val="21"/>
              </w:rPr>
            </w:pPr>
            <w:r>
              <w:rPr>
                <w:rStyle w:val="11"/>
                <w:rFonts w:hint="eastAsia" w:asciiTheme="minorEastAsia" w:hAnsiTheme="minorEastAsia"/>
                <w:b w:val="0"/>
                <w:kern w:val="0"/>
                <w:szCs w:val="21"/>
              </w:rPr>
              <w:t>/</w:t>
            </w:r>
          </w:p>
        </w:tc>
      </w:tr>
    </w:tbl>
    <w:p>
      <w:pPr>
        <w:pStyle w:val="7"/>
        <w:widowControl/>
        <w:spacing w:beforeAutospacing="0" w:afterAutospacing="0"/>
      </w:pPr>
    </w:p>
    <w:p>
      <w:pPr>
        <w:pStyle w:val="7"/>
        <w:widowControl/>
        <w:spacing w:beforeAutospacing="0" w:afterAutospacing="0"/>
      </w:pPr>
    </w:p>
    <w:p>
      <w:pPr>
        <w:pStyle w:val="7"/>
        <w:widowControl/>
        <w:spacing w:beforeAutospacing="0" w:afterAutospacing="0"/>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————————————————（分割线）—————————————————</w:t>
      </w:r>
    </w:p>
    <w:p>
      <w:pPr>
        <w:jc w:val="center"/>
        <w:rPr>
          <w:rStyle w:val="11"/>
          <w:kern w:val="0"/>
          <w:sz w:val="24"/>
        </w:rPr>
      </w:pPr>
    </w:p>
    <w:p>
      <w:pPr>
        <w:jc w:val="center"/>
        <w:rPr>
          <w:rStyle w:val="11"/>
          <w:kern w:val="0"/>
          <w:sz w:val="24"/>
        </w:rPr>
      </w:pPr>
    </w:p>
    <w:p>
      <w:pPr>
        <w:jc w:val="center"/>
        <w:rPr>
          <w:rStyle w:val="11"/>
          <w:kern w:val="0"/>
          <w:sz w:val="24"/>
        </w:rPr>
      </w:pPr>
      <w:r>
        <w:rPr>
          <w:rStyle w:val="11"/>
          <w:rFonts w:hint="eastAsia"/>
          <w:kern w:val="0"/>
          <w:sz w:val="24"/>
        </w:rPr>
        <w:t>宜居魅力</w:t>
      </w:r>
    </w:p>
    <w:p>
      <w:pPr>
        <w:jc w:val="center"/>
        <w:rPr>
          <w:rStyle w:val="11"/>
          <w:kern w:val="0"/>
          <w:sz w:val="24"/>
        </w:rPr>
      </w:pPr>
    </w:p>
    <w:p>
      <w:pPr>
        <w:jc w:val="center"/>
        <w:rPr>
          <w:rStyle w:val="11"/>
          <w:kern w:val="0"/>
          <w:sz w:val="24"/>
        </w:rPr>
      </w:pPr>
      <w:r>
        <w:rPr>
          <w:rStyle w:val="11"/>
          <w:rFonts w:hint="eastAsia"/>
          <w:kern w:val="0"/>
          <w:sz w:val="24"/>
        </w:rPr>
        <w:drawing>
          <wp:inline distT="0" distB="0" distL="114300" distR="114300">
            <wp:extent cx="3724275" cy="1775460"/>
            <wp:effectExtent l="19050" t="0" r="9525" b="0"/>
            <wp:docPr id="49" name="图片 49" descr="马拉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马拉松"/>
                    <pic:cNvPicPr>
                      <a:picLocks noChangeAspect="1"/>
                    </pic:cNvPicPr>
                  </pic:nvPicPr>
                  <pic:blipFill>
                    <a:blip r:embed="rId14" cstate="print"/>
                    <a:stretch>
                      <a:fillRect/>
                    </a:stretch>
                  </pic:blipFill>
                  <pic:spPr>
                    <a:xfrm>
                      <a:off x="0" y="0"/>
                      <a:ext cx="3724275" cy="1775923"/>
                    </a:xfrm>
                    <a:prstGeom prst="rect">
                      <a:avLst/>
                    </a:prstGeom>
                  </pic:spPr>
                </pic:pic>
              </a:graphicData>
            </a:graphic>
          </wp:inline>
        </w:drawing>
      </w: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三年越马</w:t>
      </w: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drawing>
          <wp:inline distT="0" distB="0" distL="114300" distR="114300">
            <wp:extent cx="3489325" cy="2332355"/>
            <wp:effectExtent l="0" t="0" r="15875" b="10795"/>
            <wp:docPr id="13" name="图片 13" descr="微信图片_2020082616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826165952"/>
                    <pic:cNvPicPr>
                      <a:picLocks noChangeAspect="1"/>
                    </pic:cNvPicPr>
                  </pic:nvPicPr>
                  <pic:blipFill>
                    <a:blip r:embed="rId15" cstate="print"/>
                    <a:stretch>
                      <a:fillRect/>
                    </a:stretch>
                  </pic:blipFill>
                  <pic:spPr>
                    <a:xfrm>
                      <a:off x="0" y="0"/>
                      <a:ext cx="3489325" cy="2332355"/>
                    </a:xfrm>
                    <a:prstGeom prst="rect">
                      <a:avLst/>
                    </a:prstGeom>
                  </pic:spPr>
                </pic:pic>
              </a:graphicData>
            </a:graphic>
          </wp:inline>
        </w:drawing>
      </w: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镜湖梦幻水世界水上电音趴</w:t>
      </w: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drawing>
          <wp:anchor distT="0" distB="0" distL="114300" distR="114300" simplePos="0" relativeHeight="251792384" behindDoc="0" locked="0" layoutInCell="1" allowOverlap="1">
            <wp:simplePos x="0" y="0"/>
            <wp:positionH relativeFrom="column">
              <wp:posOffset>990600</wp:posOffset>
            </wp:positionH>
            <wp:positionV relativeFrom="paragraph">
              <wp:posOffset>81915</wp:posOffset>
            </wp:positionV>
            <wp:extent cx="3114675" cy="2057400"/>
            <wp:effectExtent l="19050" t="0" r="9525" b="0"/>
            <wp:wrapNone/>
            <wp:docPr id="9" name="图片 8" descr="瓜渚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瓜渚湖2.png"/>
                    <pic:cNvPicPr>
                      <a:picLocks noChangeAspect="1"/>
                    </pic:cNvPicPr>
                  </pic:nvPicPr>
                  <pic:blipFill>
                    <a:blip r:embed="rId16" cstate="print"/>
                    <a:stretch>
                      <a:fillRect/>
                    </a:stretch>
                  </pic:blipFill>
                  <pic:spPr>
                    <a:xfrm>
                      <a:off x="0" y="0"/>
                      <a:ext cx="3114675" cy="2057400"/>
                    </a:xfrm>
                    <a:prstGeom prst="rect">
                      <a:avLst/>
                    </a:prstGeom>
                  </pic:spPr>
                </pic:pic>
              </a:graphicData>
            </a:graphic>
          </wp:anchor>
        </w:drawing>
      </w: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p>
    <w:p>
      <w:pP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人均享受9平米的公共绿地</w:t>
      </w:r>
    </w:p>
    <w:p>
      <w:pPr>
        <w:jc w:val="center"/>
        <w:rPr>
          <w:rFonts w:ascii="Times New Roman" w:hAnsi="Times New Roman" w:eastAsia="仿宋_GB2312"/>
          <w:szCs w:val="21"/>
        </w:rPr>
      </w:pPr>
      <w:r>
        <w:rPr>
          <w:rFonts w:hint="eastAsia" w:ascii="Times New Roman" w:hAnsi="Times New Roman" w:eastAsia="仿宋_GB2312"/>
          <w:szCs w:val="21"/>
        </w:rPr>
        <w:t>公园数量全国22位</w:t>
      </w:r>
    </w:p>
    <w:p>
      <w:pPr>
        <w:jc w:val="center"/>
        <w:rPr>
          <w:rFonts w:ascii="Times New Roman" w:hAnsi="Times New Roman" w:eastAsia="仿宋_GB2312" w:cs="Times New Roman"/>
          <w:kern w:val="0"/>
          <w:szCs w:val="21"/>
        </w:rPr>
      </w:pPr>
      <w:r>
        <w:rPr>
          <w:rFonts w:hint="eastAsia" w:ascii="Times New Roman" w:hAnsi="Times New Roman" w:eastAsia="仿宋_GB2312"/>
          <w:szCs w:val="21"/>
        </w:rPr>
        <w:t>音乐节、电音趴邀你“醉在江南”</w:t>
      </w:r>
    </w:p>
    <w:p>
      <w:pPr>
        <w:jc w:val="center"/>
        <w:rPr>
          <w:rFonts w:ascii="Times New Roman" w:hAnsi="Times New Roman" w:eastAsia="仿宋_GB2312" w:cs="Times New Roman"/>
          <w:kern w:val="0"/>
          <w:szCs w:val="21"/>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————————————————（分割线）—————————————————</w:t>
      </w:r>
    </w:p>
    <w:p>
      <w:pPr>
        <w:rPr>
          <w:rFonts w:ascii="Times New Roman" w:hAnsi="Times New Roman" w:eastAsia="仿宋_GB2312" w:cs="Times New Roman"/>
          <w:kern w:val="0"/>
          <w:szCs w:val="21"/>
        </w:rPr>
      </w:pPr>
    </w:p>
    <w:p>
      <w:pPr>
        <w:jc w:val="center"/>
        <w:rPr>
          <w:rStyle w:val="11"/>
          <w:kern w:val="0"/>
          <w:sz w:val="24"/>
        </w:rPr>
      </w:pPr>
    </w:p>
    <w:p>
      <w:pPr>
        <w:jc w:val="center"/>
        <w:rPr>
          <w:rStyle w:val="11"/>
          <w:kern w:val="0"/>
          <w:sz w:val="24"/>
        </w:rPr>
      </w:pPr>
      <w:r>
        <w:rPr>
          <w:rStyle w:val="11"/>
          <w:rFonts w:hint="eastAsia"/>
          <w:kern w:val="0"/>
          <w:sz w:val="24"/>
        </w:rPr>
        <w:t>成长潜力</w:t>
      </w: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drawing>
          <wp:inline distT="0" distB="0" distL="114300" distR="114300">
            <wp:extent cx="2714625" cy="1919605"/>
            <wp:effectExtent l="19050" t="0" r="0" b="0"/>
            <wp:docPr id="50" name="图片 50" descr="微信图片_2020082616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00826164150"/>
                    <pic:cNvPicPr>
                      <a:picLocks noChangeAspect="1"/>
                    </pic:cNvPicPr>
                  </pic:nvPicPr>
                  <pic:blipFill>
                    <a:blip r:embed="rId17" cstate="print"/>
                    <a:stretch>
                      <a:fillRect/>
                    </a:stretch>
                  </pic:blipFill>
                  <pic:spPr>
                    <a:xfrm>
                      <a:off x="0" y="0"/>
                      <a:ext cx="2720999" cy="1924620"/>
                    </a:xfrm>
                    <a:prstGeom prst="rect">
                      <a:avLst/>
                    </a:prstGeom>
                  </pic:spPr>
                </pic:pic>
              </a:graphicData>
            </a:graphic>
          </wp:inline>
        </w:drawing>
      </w:r>
    </w:p>
    <w:p>
      <w:pPr>
        <w:pStyle w:val="7"/>
        <w:widowControl/>
        <w:spacing w:beforeAutospacing="0" w:afterAutospacing="0"/>
        <w:jc w:val="center"/>
        <w:rPr>
          <w:rFonts w:ascii="Times New Roman" w:hAnsi="Times New Roman" w:eastAsia="仿宋_GB2312"/>
          <w:b/>
          <w:sz w:val="21"/>
          <w:szCs w:val="21"/>
        </w:rPr>
      </w:pPr>
      <w:r>
        <w:rPr>
          <w:rFonts w:hint="eastAsia" w:ascii="Times New Roman" w:hAnsi="Times New Roman" w:eastAsia="仿宋_GB2312"/>
          <w:b/>
          <w:sz w:val="21"/>
          <w:szCs w:val="21"/>
        </w:rPr>
        <w:t>浙江省大湾区建设重点</w:t>
      </w:r>
    </w:p>
    <w:p>
      <w:pPr>
        <w:pStyle w:val="7"/>
        <w:widowControl/>
        <w:spacing w:beforeAutospacing="0" w:afterAutospacing="0"/>
        <w:jc w:val="center"/>
        <w:rPr>
          <w:rFonts w:ascii="Times New Roman" w:hAnsi="Times New Roman" w:eastAsia="仿宋_GB2312"/>
          <w:b/>
          <w:sz w:val="21"/>
          <w:szCs w:val="21"/>
        </w:rPr>
      </w:pPr>
      <w:r>
        <w:rPr>
          <w:rFonts w:hint="eastAsia" w:ascii="Times New Roman" w:hAnsi="Times New Roman" w:eastAsia="仿宋_GB2312"/>
          <w:b/>
          <w:sz w:val="21"/>
          <w:szCs w:val="21"/>
        </w:rPr>
        <w:t>杭绍甬一体化同城化</w:t>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2019年被国家明确定位为</w:t>
      </w:r>
      <w:r>
        <w:rPr>
          <w:rFonts w:hint="eastAsia" w:ascii="Times New Roman" w:hAnsi="Times New Roman" w:eastAsia="仿宋_GB2312"/>
          <w:b/>
          <w:sz w:val="21"/>
          <w:szCs w:val="21"/>
        </w:rPr>
        <w:t>II型大城市</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迎来新一轮的发展机会</w:t>
      </w:r>
    </w:p>
    <w:p>
      <w:pPr>
        <w:pStyle w:val="7"/>
        <w:widowControl/>
        <w:spacing w:beforeAutospacing="0" w:afterAutospacing="0"/>
        <w:jc w:val="center"/>
        <w:rPr>
          <w:rFonts w:ascii="Times New Roman" w:hAnsi="Times New Roman" w:eastAsia="仿宋_GB2312"/>
          <w:sz w:val="21"/>
          <w:szCs w:val="21"/>
        </w:rPr>
      </w:pP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杭绍城际铁路今年年底竣工</w:t>
      </w:r>
    </w:p>
    <w:p>
      <w:pPr>
        <w:pStyle w:val="7"/>
        <w:widowControl/>
        <w:spacing w:beforeAutospacing="0" w:afterAutospacing="0"/>
        <w:jc w:val="center"/>
        <w:rPr>
          <w:rFonts w:ascii="Times New Roman" w:hAnsi="Times New Roman" w:eastAsia="仿宋_GB2312"/>
          <w:b/>
          <w:sz w:val="21"/>
          <w:szCs w:val="21"/>
        </w:rPr>
      </w:pPr>
      <w:r>
        <w:rPr>
          <w:rFonts w:hint="eastAsia" w:ascii="Times New Roman" w:hAnsi="Times New Roman" w:eastAsia="仿宋_GB2312"/>
          <w:b/>
          <w:sz w:val="21"/>
          <w:szCs w:val="21"/>
        </w:rPr>
        <w:t>绍兴人可坐地铁去往杭州</w:t>
      </w:r>
    </w:p>
    <w:p>
      <w:pPr>
        <w:pStyle w:val="7"/>
        <w:widowControl/>
        <w:spacing w:beforeAutospacing="0" w:afterAutospacing="0"/>
        <w:jc w:val="center"/>
        <w:rPr>
          <w:rFonts w:ascii="Times New Roman" w:hAnsi="Times New Roman" w:eastAsia="仿宋_GB2312"/>
          <w:sz w:val="21"/>
          <w:szCs w:val="21"/>
        </w:rPr>
      </w:pPr>
    </w:p>
    <w:p>
      <w:pPr>
        <w:jc w:val="center"/>
        <w:rPr>
          <w:rFonts w:ascii="Times New Roman" w:hAnsi="Times New Roman" w:eastAsia="仿宋_GB2312" w:cs="Times New Roman"/>
          <w:b/>
          <w:kern w:val="0"/>
          <w:szCs w:val="21"/>
        </w:rPr>
      </w:pPr>
      <w:r>
        <w:rPr>
          <w:rFonts w:hint="eastAsia" w:ascii="Times New Roman" w:hAnsi="Times New Roman" w:eastAsia="仿宋_GB2312" w:cs="Times New Roman"/>
          <w:b/>
          <w:kern w:val="0"/>
          <w:szCs w:val="21"/>
        </w:rPr>
        <w:t>杭绍台高速、杭绍台高铁、杭绍甬高速</w:t>
      </w:r>
      <w:r>
        <w:rPr>
          <w:rFonts w:hint="eastAsia" w:ascii="Times New Roman" w:hAnsi="Times New Roman" w:eastAsia="仿宋_GB2312"/>
          <w:szCs w:val="21"/>
        </w:rPr>
        <w:t>将陆续通车</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杭绍间“30分钟高铁圈”即将形成</w:t>
      </w:r>
    </w:p>
    <w:p>
      <w:pPr>
        <w:pStyle w:val="7"/>
        <w:widowControl/>
        <w:spacing w:beforeAutospacing="0" w:afterAutospacing="0"/>
        <w:jc w:val="center"/>
        <w:rPr>
          <w:rFonts w:ascii="Times New Roman" w:hAnsi="Times New Roman" w:eastAsia="仿宋_GB2312"/>
          <w:sz w:val="21"/>
          <w:szCs w:val="21"/>
        </w:rPr>
      </w:pPr>
    </w:p>
    <w:p>
      <w:pPr>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drawing>
          <wp:inline distT="0" distB="0" distL="114300" distR="114300">
            <wp:extent cx="3184525" cy="2190750"/>
            <wp:effectExtent l="0" t="0" r="15875" b="0"/>
            <wp:docPr id="18" name="图片 18" descr="微信图片_2020082617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826171301"/>
                    <pic:cNvPicPr>
                      <a:picLocks noChangeAspect="1"/>
                    </pic:cNvPicPr>
                  </pic:nvPicPr>
                  <pic:blipFill>
                    <a:blip r:embed="rId18" cstate="print"/>
                    <a:stretch>
                      <a:fillRect/>
                    </a:stretch>
                  </pic:blipFill>
                  <pic:spPr>
                    <a:xfrm>
                      <a:off x="0" y="0"/>
                      <a:ext cx="3184525" cy="2190750"/>
                    </a:xfrm>
                    <a:prstGeom prst="rect">
                      <a:avLst/>
                    </a:prstGeom>
                  </pic:spPr>
                </pic:pic>
              </a:graphicData>
            </a:graphic>
          </wp:inline>
        </w:drawing>
      </w: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drawing>
          <wp:inline distT="0" distB="0" distL="114300" distR="114300">
            <wp:extent cx="3757295" cy="2640330"/>
            <wp:effectExtent l="0" t="0" r="14605" b="7620"/>
            <wp:docPr id="55" name="图片 55" descr="高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高架"/>
                    <pic:cNvPicPr>
                      <a:picLocks noChangeAspect="1"/>
                    </pic:cNvPicPr>
                  </pic:nvPicPr>
                  <pic:blipFill>
                    <a:blip r:embed="rId19" cstate="print"/>
                    <a:stretch>
                      <a:fillRect/>
                    </a:stretch>
                  </pic:blipFill>
                  <pic:spPr>
                    <a:xfrm>
                      <a:off x="0" y="0"/>
                      <a:ext cx="3757295" cy="2640330"/>
                    </a:xfrm>
                    <a:prstGeom prst="rect">
                      <a:avLst/>
                    </a:prstGeom>
                  </pic:spPr>
                </pic:pic>
              </a:graphicData>
            </a:graphic>
          </wp:inline>
        </w:drawing>
      </w: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地铁1、2号线预计2022、2023年建成通车</w:t>
      </w: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8条高架（快速路）在建</w:t>
      </w:r>
    </w:p>
    <w:p>
      <w:pPr>
        <w:pStyle w:val="7"/>
        <w:widowControl/>
        <w:spacing w:beforeAutospacing="0" w:afterAutospacing="0"/>
        <w:jc w:val="center"/>
        <w:rPr>
          <w:rFonts w:ascii="Times New Roman" w:hAnsi="Times New Roman" w:eastAsia="仿宋_GB2312"/>
          <w:sz w:val="21"/>
          <w:szCs w:val="21"/>
        </w:rPr>
      </w:pPr>
    </w:p>
    <w:p>
      <w:pPr>
        <w:pStyle w:val="7"/>
        <w:widowControl/>
        <w:spacing w:beforeAutospacing="0" w:afterAutospacing="0"/>
        <w:jc w:val="center"/>
        <w:rPr>
          <w:rFonts w:ascii="Times New Roman" w:hAnsi="Times New Roman" w:eastAsia="仿宋_GB2312"/>
          <w:sz w:val="21"/>
          <w:szCs w:val="21"/>
        </w:rPr>
      </w:pPr>
      <w:r>
        <w:rPr>
          <w:rFonts w:ascii="Times New Roman" w:hAnsi="Times New Roman" w:eastAsia="仿宋_GB2312"/>
          <w:sz w:val="21"/>
          <w:szCs w:val="21"/>
        </w:rPr>
        <w:drawing>
          <wp:inline distT="0" distB="0" distL="114300" distR="114300">
            <wp:extent cx="4050030" cy="2861945"/>
            <wp:effectExtent l="0" t="0" r="7620" b="14605"/>
            <wp:docPr id="51" name="图片 51" descr="镜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镜湖"/>
                    <pic:cNvPicPr>
                      <a:picLocks noChangeAspect="1"/>
                    </pic:cNvPicPr>
                  </pic:nvPicPr>
                  <pic:blipFill>
                    <a:blip r:embed="rId20" cstate="print"/>
                    <a:stretch>
                      <a:fillRect/>
                    </a:stretch>
                  </pic:blipFill>
                  <pic:spPr>
                    <a:xfrm>
                      <a:off x="0" y="0"/>
                      <a:ext cx="4050030" cy="2861945"/>
                    </a:xfrm>
                    <a:prstGeom prst="rect">
                      <a:avLst/>
                    </a:prstGeom>
                  </pic:spPr>
                </pic:pic>
              </a:graphicData>
            </a:graphic>
          </wp:inline>
        </w:drawing>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超150米新地标+CBD金融中心+百万方综合体</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镜湖将诞生“绍兴的陆家嘴”</w:t>
      </w:r>
    </w:p>
    <w:p>
      <w:pPr>
        <w:pStyle w:val="7"/>
        <w:widowControl/>
        <w:spacing w:beforeAutospacing="0" w:afterAutospacing="0"/>
        <w:jc w:val="center"/>
        <w:rPr>
          <w:rFonts w:ascii="Times New Roman" w:hAnsi="Times New Roman" w:eastAsia="仿宋_GB2312"/>
          <w:sz w:val="21"/>
          <w:szCs w:val="21"/>
        </w:rPr>
      </w:pP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drawing>
          <wp:inline distT="0" distB="0" distL="114300" distR="114300">
            <wp:extent cx="4192270" cy="2371725"/>
            <wp:effectExtent l="19050" t="0" r="0" b="0"/>
            <wp:docPr id="53" name="图片 53" descr="邵逸夫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邵逸夫医院"/>
                    <pic:cNvPicPr>
                      <a:picLocks noChangeAspect="1"/>
                    </pic:cNvPicPr>
                  </pic:nvPicPr>
                  <pic:blipFill>
                    <a:blip r:embed="rId21" cstate="print"/>
                    <a:stretch>
                      <a:fillRect/>
                    </a:stretch>
                  </pic:blipFill>
                  <pic:spPr>
                    <a:xfrm>
                      <a:off x="0" y="0"/>
                      <a:ext cx="4192851" cy="2371725"/>
                    </a:xfrm>
                    <a:prstGeom prst="rect">
                      <a:avLst/>
                    </a:prstGeom>
                  </pic:spPr>
                </pic:pic>
              </a:graphicData>
            </a:graphic>
          </wp:inline>
        </w:drawing>
      </w: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浙大邵逸夫医院绍兴院区即将开建</w:t>
      </w: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drawing>
          <wp:inline distT="0" distB="0" distL="114300" distR="114300">
            <wp:extent cx="2292350" cy="1532890"/>
            <wp:effectExtent l="0" t="0" r="12700" b="10160"/>
            <wp:docPr id="41" name="图片 41" descr="棒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棒球"/>
                    <pic:cNvPicPr>
                      <a:picLocks noChangeAspect="1"/>
                    </pic:cNvPicPr>
                  </pic:nvPicPr>
                  <pic:blipFill>
                    <a:blip r:embed="rId22" cstate="print"/>
                    <a:stretch>
                      <a:fillRect/>
                    </a:stretch>
                  </pic:blipFill>
                  <pic:spPr>
                    <a:xfrm>
                      <a:off x="0" y="0"/>
                      <a:ext cx="2292350" cy="1532890"/>
                    </a:xfrm>
                    <a:prstGeom prst="rect">
                      <a:avLst/>
                    </a:prstGeom>
                  </pic:spPr>
                </pic:pic>
              </a:graphicData>
            </a:graphic>
          </wp:inline>
        </w:drawing>
      </w:r>
      <w:r>
        <w:rPr>
          <w:rFonts w:ascii="Times New Roman" w:hAnsi="Times New Roman" w:eastAsia="仿宋_GB2312" w:cs="Times New Roman"/>
          <w:kern w:val="0"/>
          <w:szCs w:val="21"/>
        </w:rPr>
        <w:drawing>
          <wp:inline distT="0" distB="0" distL="114300" distR="114300">
            <wp:extent cx="2449830" cy="1531620"/>
            <wp:effectExtent l="0" t="0" r="7620" b="11430"/>
            <wp:docPr id="42" name="图片 42" descr="攀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攀岩"/>
                    <pic:cNvPicPr>
                      <a:picLocks noChangeAspect="1"/>
                    </pic:cNvPicPr>
                  </pic:nvPicPr>
                  <pic:blipFill>
                    <a:blip r:embed="rId23" cstate="print"/>
                    <a:stretch>
                      <a:fillRect/>
                    </a:stretch>
                  </pic:blipFill>
                  <pic:spPr>
                    <a:xfrm>
                      <a:off x="0" y="0"/>
                      <a:ext cx="2449830" cy="1531620"/>
                    </a:xfrm>
                    <a:prstGeom prst="rect">
                      <a:avLst/>
                    </a:prstGeom>
                  </pic:spPr>
                </pic:pic>
              </a:graphicData>
            </a:graphic>
          </wp:inline>
        </w:drawing>
      </w: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亚运会棒（垒）球体育文化中心、攀岩中心开建</w:t>
      </w: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——————————————分割线——————————————</w:t>
      </w: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b/>
          <w:kern w:val="0"/>
          <w:sz w:val="24"/>
          <w:szCs w:val="21"/>
        </w:rPr>
      </w:pPr>
    </w:p>
    <w:p>
      <w:pPr>
        <w:jc w:val="center"/>
        <w:rPr>
          <w:rFonts w:ascii="Times New Roman" w:hAnsi="Times New Roman" w:eastAsia="仿宋_GB2312" w:cs="Times New Roman"/>
          <w:b/>
          <w:kern w:val="0"/>
          <w:sz w:val="24"/>
          <w:szCs w:val="21"/>
        </w:rPr>
      </w:pPr>
      <w:r>
        <w:rPr>
          <w:rFonts w:hint="eastAsia" w:ascii="Times New Roman" w:hAnsi="Times New Roman" w:eastAsia="仿宋_GB2312" w:cs="Times New Roman"/>
          <w:b/>
          <w:kern w:val="0"/>
          <w:sz w:val="24"/>
          <w:szCs w:val="21"/>
        </w:rPr>
        <w:t>邀请函</w:t>
      </w:r>
    </w:p>
    <w:p>
      <w:pPr>
        <w:jc w:val="center"/>
        <w:rPr>
          <w:rFonts w:ascii="Times New Roman" w:hAnsi="Times New Roman" w:eastAsia="仿宋_GB2312" w:cs="Times New Roman"/>
          <w:kern w:val="0"/>
          <w:szCs w:val="21"/>
        </w:rPr>
      </w:pPr>
    </w:p>
    <w:p>
      <w:pPr>
        <w:pStyle w:val="7"/>
        <w:widowControl/>
        <w:spacing w:beforeAutospacing="0" w:afterAutospacing="0"/>
        <w:ind w:firstLine="420" w:firstLineChars="200"/>
        <w:rPr>
          <w:rFonts w:ascii="Times New Roman" w:hAnsi="Times New Roman" w:eastAsia="仿宋_GB2312"/>
          <w:sz w:val="21"/>
          <w:szCs w:val="21"/>
        </w:rPr>
      </w:pPr>
      <w:r>
        <w:rPr>
          <w:rFonts w:hint="eastAsia" w:ascii="Times New Roman" w:hAnsi="Times New Roman" w:eastAsia="仿宋_GB2312"/>
          <w:sz w:val="21"/>
          <w:szCs w:val="21"/>
        </w:rPr>
        <w:t>嘀嘀嘀——各位高校毕业生请注意！“活力绍兴 智引全球”2020招才引智·秋季专列即将到站，本次专列携467家企事业单位带来10315个岗位需求，诚邀您上车！</w:t>
      </w:r>
    </w:p>
    <w:p>
      <w:pPr>
        <w:jc w:val="left"/>
        <w:rPr>
          <w:rFonts w:ascii="黑体" w:hAnsi="黑体" w:eastAsia="黑体" w:cs="Times New Roman"/>
          <w:kern w:val="0"/>
          <w:szCs w:val="21"/>
        </w:rPr>
      </w:pPr>
    </w:p>
    <w:p>
      <w:pPr>
        <w:jc w:val="left"/>
        <w:rPr>
          <w:rFonts w:ascii="黑体" w:hAnsi="黑体" w:eastAsia="黑体" w:cs="Times New Roman"/>
          <w:kern w:val="0"/>
          <w:szCs w:val="21"/>
        </w:rPr>
      </w:pPr>
      <w:r>
        <w:rPr>
          <w:rFonts w:hint="eastAsia" w:ascii="黑体" w:hAnsi="黑体" w:eastAsia="黑体" w:cs="Times New Roman"/>
          <w:kern w:val="0"/>
          <w:szCs w:val="21"/>
        </w:rPr>
        <w:t>部分优质岗位一览：</w:t>
      </w:r>
    </w:p>
    <w:p>
      <w:pPr>
        <w:jc w:val="left"/>
        <w:rPr>
          <w:rFonts w:ascii="黑体" w:hAnsi="黑体" w:eastAsia="黑体" w:cs="Times New Roman"/>
          <w:kern w:val="0"/>
          <w:szCs w:val="21"/>
        </w:rPr>
      </w:pPr>
    </w:p>
    <w:p>
      <w:pPr>
        <w:jc w:val="left"/>
        <w:rPr>
          <w:rFonts w:ascii="黑体" w:hAnsi="黑体" w:eastAsia="黑体" w:cs="Times New Roman"/>
          <w:kern w:val="0"/>
          <w:szCs w:val="21"/>
        </w:rPr>
      </w:pPr>
      <w:r>
        <w:rPr>
          <w:rFonts w:hint="eastAsia" w:ascii="黑体" w:hAnsi="黑体" w:eastAsia="黑体" w:cs="Times New Roman"/>
          <w:kern w:val="0"/>
          <w:szCs w:val="21"/>
        </w:rPr>
        <w:t>事业单位</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绍兴文理学院</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岗位名称：老师</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学历要求：博士研究生</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人数：161</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年薪：20万左右</w:t>
      </w:r>
      <w:r>
        <w:rPr>
          <w:rFonts w:ascii="Times New Roman" w:hAnsi="Times New Roman" w:eastAsia="仿宋_GB2312" w:cs="Times New Roman"/>
          <w:kern w:val="0"/>
          <w:szCs w:val="21"/>
        </w:rPr>
        <w:t xml:space="preserve"> </w:t>
      </w:r>
    </w:p>
    <w:p>
      <w:pPr>
        <w:jc w:val="left"/>
        <w:rPr>
          <w:rFonts w:ascii="Times New Roman" w:hAnsi="Times New Roman" w:eastAsia="仿宋_GB2312" w:cs="Times New Roman"/>
          <w:kern w:val="0"/>
          <w:szCs w:val="21"/>
        </w:rPr>
      </w:pP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岗位名称：专任教师</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学历要求：硕士研究生</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人数：10</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年薪：10万以上</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xml:space="preserve"> </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绍兴市人民医院</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岗位名称：学科带头人</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学历要求：本科</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人数：4</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年薪：30万左右</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xml:space="preserve"> </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岗位名称：医生</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学历要求：博士/硕士/本科</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人数：83</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年薪：15万以上；10万以上</w:t>
      </w:r>
    </w:p>
    <w:p>
      <w:pPr>
        <w:jc w:val="left"/>
        <w:rPr>
          <w:rFonts w:ascii="Times New Roman" w:hAnsi="Times New Roman" w:eastAsia="仿宋_GB2312" w:cs="Times New Roman"/>
          <w:kern w:val="0"/>
          <w:szCs w:val="21"/>
        </w:rPr>
      </w:pPr>
    </w:p>
    <w:p>
      <w:pPr>
        <w:jc w:val="left"/>
        <w:rPr>
          <w:rFonts w:ascii="黑体" w:hAnsi="黑体" w:eastAsia="黑体" w:cs="Times New Roman"/>
          <w:kern w:val="0"/>
          <w:szCs w:val="21"/>
        </w:rPr>
      </w:pPr>
      <w:r>
        <w:rPr>
          <w:rFonts w:hint="eastAsia" w:ascii="黑体" w:hAnsi="黑体" w:eastAsia="黑体" w:cs="Times New Roman"/>
          <w:kern w:val="0"/>
          <w:szCs w:val="21"/>
        </w:rPr>
        <w:t>国有企业</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中科院新材料技术（浙江）有限公司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岗位名称：行业研究员、技术研发人员</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学历要求</w:t>
      </w:r>
      <w:r>
        <w:rPr>
          <w:rFonts w:hint="eastAsia" w:ascii="Times New Roman" w:hAnsi="Times New Roman" w:eastAsia="仿宋_GB2312" w:cs="Times New Roman"/>
          <w:kern w:val="0"/>
          <w:szCs w:val="21"/>
        </w:rPr>
        <w:t>：硕士研究生</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人数</w:t>
      </w:r>
      <w:r>
        <w:rPr>
          <w:rFonts w:hint="eastAsia" w:ascii="Times New Roman" w:hAnsi="Times New Roman" w:eastAsia="仿宋_GB2312" w:cs="Times New Roman"/>
          <w:kern w:val="0"/>
          <w:szCs w:val="21"/>
        </w:rPr>
        <w:t>：共8人</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年薪</w:t>
      </w:r>
      <w:r>
        <w:rPr>
          <w:rFonts w:hint="eastAsia" w:ascii="Times New Roman" w:hAnsi="Times New Roman" w:eastAsia="仿宋_GB2312" w:cs="Times New Roman"/>
          <w:kern w:val="0"/>
          <w:szCs w:val="21"/>
        </w:rPr>
        <w:t>：10-35万元</w:t>
      </w:r>
    </w:p>
    <w:p>
      <w:pPr>
        <w:jc w:val="left"/>
        <w:rPr>
          <w:rFonts w:ascii="Times New Roman" w:hAnsi="Times New Roman" w:eastAsia="仿宋_GB2312" w:cs="Times New Roman"/>
          <w:kern w:val="0"/>
          <w:szCs w:val="21"/>
        </w:rPr>
      </w:pP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中国移动通信集团浙江有限公司绍兴分公司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岗位名称：大数据运营工程师、通信网络工程师；政企项目经理</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学历要求</w:t>
      </w:r>
      <w:r>
        <w:rPr>
          <w:rFonts w:hint="eastAsia" w:ascii="Times New Roman" w:hAnsi="Times New Roman" w:eastAsia="仿宋_GB2312" w:cs="Times New Roman"/>
          <w:kern w:val="0"/>
          <w:szCs w:val="21"/>
        </w:rPr>
        <w:t>：大学本科</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人数</w:t>
      </w:r>
      <w:r>
        <w:rPr>
          <w:rFonts w:hint="eastAsia" w:ascii="Times New Roman" w:hAnsi="Times New Roman" w:eastAsia="仿宋_GB2312" w:cs="Times New Roman"/>
          <w:kern w:val="0"/>
          <w:szCs w:val="21"/>
        </w:rPr>
        <w:t>： 共23人</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年薪</w:t>
      </w:r>
      <w:r>
        <w:rPr>
          <w:rFonts w:hint="eastAsia" w:ascii="Times New Roman" w:hAnsi="Times New Roman" w:eastAsia="仿宋_GB2312" w:cs="Times New Roman"/>
          <w:kern w:val="0"/>
          <w:szCs w:val="21"/>
        </w:rPr>
        <w:t>：10-20万元</w:t>
      </w:r>
    </w:p>
    <w:p>
      <w:pPr>
        <w:jc w:val="left"/>
        <w:rPr>
          <w:rFonts w:ascii="Times New Roman" w:hAnsi="Times New Roman" w:eastAsia="仿宋_GB2312" w:cs="Times New Roman"/>
          <w:kern w:val="0"/>
          <w:szCs w:val="21"/>
        </w:rPr>
      </w:pP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中国人民财产保险股份有限公司绍兴市上虞支公司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岗位名称：车险客户经理</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学历要求：大学专科，专业不限</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人数：10人</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年薪：10-12万元</w:t>
      </w:r>
    </w:p>
    <w:p>
      <w:pPr>
        <w:jc w:val="left"/>
        <w:rPr>
          <w:rFonts w:ascii="Times New Roman" w:hAnsi="Times New Roman" w:eastAsia="仿宋_GB2312" w:cs="Times New Roman"/>
          <w:kern w:val="0"/>
          <w:szCs w:val="21"/>
        </w:rPr>
      </w:pPr>
    </w:p>
    <w:p>
      <w:pPr>
        <w:jc w:val="left"/>
        <w:rPr>
          <w:rFonts w:ascii="黑体" w:hAnsi="黑体" w:eastAsia="黑体" w:cs="Times New Roman"/>
          <w:kern w:val="0"/>
          <w:szCs w:val="21"/>
        </w:rPr>
      </w:pPr>
      <w:r>
        <w:rPr>
          <w:rFonts w:hint="eastAsia" w:ascii="黑体" w:hAnsi="黑体" w:eastAsia="黑体" w:cs="Times New Roman"/>
          <w:kern w:val="0"/>
          <w:szCs w:val="21"/>
        </w:rPr>
        <w:t>上市公司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海亮教育管理集团有限公司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岗位名称：博雅英才教育精英</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学历要求</w:t>
      </w:r>
      <w:r>
        <w:rPr>
          <w:rFonts w:hint="eastAsia" w:ascii="Times New Roman" w:hAnsi="Times New Roman" w:eastAsia="仿宋_GB2312" w:cs="Times New Roman"/>
          <w:kern w:val="0"/>
          <w:szCs w:val="21"/>
        </w:rPr>
        <w:t>：</w:t>
      </w:r>
      <w:r>
        <w:rPr>
          <w:rFonts w:ascii="Times New Roman" w:hAnsi="Times New Roman" w:eastAsia="仿宋_GB2312" w:cs="Times New Roman"/>
          <w:kern w:val="0"/>
          <w:szCs w:val="21"/>
        </w:rPr>
        <w:t>大学本科</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人数</w:t>
      </w:r>
      <w:r>
        <w:rPr>
          <w:rFonts w:hint="eastAsia" w:ascii="Times New Roman" w:hAnsi="Times New Roman" w:eastAsia="仿宋_GB2312" w:cs="Times New Roman"/>
          <w:kern w:val="0"/>
          <w:szCs w:val="21"/>
        </w:rPr>
        <w:t>：10人</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年薪</w:t>
      </w:r>
      <w:r>
        <w:rPr>
          <w:rFonts w:hint="eastAsia" w:ascii="Times New Roman" w:hAnsi="Times New Roman" w:eastAsia="仿宋_GB2312" w:cs="Times New Roman"/>
          <w:kern w:val="0"/>
          <w:szCs w:val="21"/>
        </w:rPr>
        <w:t>：30-50万元</w:t>
      </w:r>
    </w:p>
    <w:p>
      <w:pPr>
        <w:jc w:val="left"/>
        <w:rPr>
          <w:rFonts w:ascii="Times New Roman" w:hAnsi="Times New Roman" w:eastAsia="仿宋_GB2312" w:cs="Times New Roman"/>
          <w:kern w:val="0"/>
          <w:szCs w:val="21"/>
        </w:rPr>
      </w:pP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浙江新和成股份有限公司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w:t>
      </w:r>
      <w:r>
        <w:rPr>
          <w:rFonts w:ascii="Times New Roman" w:hAnsi="Times New Roman" w:eastAsia="仿宋_GB2312" w:cs="Times New Roman"/>
          <w:kern w:val="0"/>
          <w:szCs w:val="21"/>
        </w:rPr>
        <w:t>博士研究员</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学历要求</w:t>
      </w:r>
      <w:r>
        <w:rPr>
          <w:rFonts w:hint="eastAsia" w:ascii="Times New Roman" w:hAnsi="Times New Roman" w:eastAsia="仿宋_GB2312" w:cs="Times New Roman"/>
          <w:kern w:val="0"/>
          <w:szCs w:val="21"/>
        </w:rPr>
        <w:t>：</w:t>
      </w:r>
      <w:r>
        <w:rPr>
          <w:rFonts w:ascii="Times New Roman" w:hAnsi="Times New Roman" w:eastAsia="仿宋_GB2312" w:cs="Times New Roman"/>
          <w:kern w:val="0"/>
          <w:szCs w:val="21"/>
        </w:rPr>
        <w:t>博士研究生</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人数</w:t>
      </w:r>
      <w:r>
        <w:rPr>
          <w:rFonts w:hint="eastAsia" w:ascii="Times New Roman" w:hAnsi="Times New Roman" w:eastAsia="仿宋_GB2312" w:cs="Times New Roman"/>
          <w:kern w:val="0"/>
          <w:szCs w:val="21"/>
        </w:rPr>
        <w:t>：15人</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年薪</w:t>
      </w:r>
      <w:r>
        <w:rPr>
          <w:rFonts w:hint="eastAsia" w:ascii="Times New Roman" w:hAnsi="Times New Roman" w:eastAsia="仿宋_GB2312" w:cs="Times New Roman"/>
          <w:kern w:val="0"/>
          <w:szCs w:val="21"/>
        </w:rPr>
        <w:t>：25-35万元</w:t>
      </w:r>
    </w:p>
    <w:p>
      <w:pPr>
        <w:jc w:val="left"/>
        <w:rPr>
          <w:rFonts w:ascii="Times New Roman" w:hAnsi="Times New Roman" w:eastAsia="仿宋_GB2312" w:cs="Times New Roman"/>
          <w:kern w:val="0"/>
          <w:szCs w:val="21"/>
        </w:rPr>
      </w:pP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宝业集团股份有限公司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岗位名称：博士研究员</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学历要求</w:t>
      </w:r>
      <w:r>
        <w:rPr>
          <w:rFonts w:hint="eastAsia" w:ascii="Times New Roman" w:hAnsi="Times New Roman" w:eastAsia="仿宋_GB2312" w:cs="Times New Roman"/>
          <w:kern w:val="0"/>
          <w:szCs w:val="21"/>
        </w:rPr>
        <w:t>：博士研究生</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人数</w:t>
      </w:r>
      <w:r>
        <w:rPr>
          <w:rFonts w:hint="eastAsia" w:ascii="Times New Roman" w:hAnsi="Times New Roman" w:eastAsia="仿宋_GB2312" w:cs="Times New Roman"/>
          <w:kern w:val="0"/>
          <w:szCs w:val="21"/>
        </w:rPr>
        <w:t>：10人</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年薪</w:t>
      </w:r>
      <w:r>
        <w:rPr>
          <w:rFonts w:hint="eastAsia" w:ascii="Times New Roman" w:hAnsi="Times New Roman" w:eastAsia="仿宋_GB2312" w:cs="Times New Roman"/>
          <w:kern w:val="0"/>
          <w:szCs w:val="21"/>
        </w:rPr>
        <w:t>：25万元</w:t>
      </w:r>
    </w:p>
    <w:p>
      <w:pPr>
        <w:jc w:val="left"/>
        <w:rPr>
          <w:rFonts w:ascii="Times New Roman" w:hAnsi="Times New Roman" w:eastAsia="仿宋_GB2312" w:cs="Times New Roman"/>
          <w:kern w:val="0"/>
          <w:szCs w:val="21"/>
        </w:rPr>
      </w:pP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浙江闰土股份有限公司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岗位名称：精细化工、医药中间体研发</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学历要求</w:t>
      </w:r>
      <w:r>
        <w:rPr>
          <w:rFonts w:hint="eastAsia" w:ascii="Times New Roman" w:hAnsi="Times New Roman" w:eastAsia="仿宋_GB2312" w:cs="Times New Roman"/>
          <w:kern w:val="0"/>
          <w:szCs w:val="21"/>
        </w:rPr>
        <w:t>：博士研究生</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人数</w:t>
      </w:r>
      <w:r>
        <w:rPr>
          <w:rFonts w:hint="eastAsia" w:ascii="Times New Roman" w:hAnsi="Times New Roman" w:eastAsia="仿宋_GB2312" w:cs="Times New Roman"/>
          <w:kern w:val="0"/>
          <w:szCs w:val="21"/>
        </w:rPr>
        <w:t>：3人</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年薪</w:t>
      </w:r>
      <w:r>
        <w:rPr>
          <w:rFonts w:hint="eastAsia" w:ascii="Times New Roman" w:hAnsi="Times New Roman" w:eastAsia="仿宋_GB2312" w:cs="Times New Roman"/>
          <w:kern w:val="0"/>
          <w:szCs w:val="21"/>
        </w:rPr>
        <w:t>：18-25万元</w:t>
      </w:r>
    </w:p>
    <w:p>
      <w:pPr>
        <w:jc w:val="left"/>
        <w:rPr>
          <w:rFonts w:ascii="Times New Roman" w:hAnsi="Times New Roman" w:eastAsia="仿宋_GB2312" w:cs="Times New Roman"/>
          <w:kern w:val="0"/>
          <w:szCs w:val="21"/>
        </w:rPr>
      </w:pP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用友网络科技股份有限公司绍兴分公司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岗位名称：JAVA开发工程师、高级大客户经理、项目经理（实施顾问方向）</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学历要求</w:t>
      </w:r>
      <w:r>
        <w:rPr>
          <w:rFonts w:hint="eastAsia" w:ascii="Times New Roman" w:hAnsi="Times New Roman" w:eastAsia="仿宋_GB2312" w:cs="Times New Roman"/>
          <w:kern w:val="0"/>
          <w:szCs w:val="21"/>
        </w:rPr>
        <w:t>：大学本科</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人数</w:t>
      </w:r>
      <w:r>
        <w:rPr>
          <w:rFonts w:hint="eastAsia" w:ascii="Times New Roman" w:hAnsi="Times New Roman" w:eastAsia="仿宋_GB2312" w:cs="Times New Roman"/>
          <w:kern w:val="0"/>
          <w:szCs w:val="21"/>
        </w:rPr>
        <w:t>：各2人</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年薪</w:t>
      </w:r>
      <w:r>
        <w:rPr>
          <w:rFonts w:hint="eastAsia" w:ascii="Times New Roman" w:hAnsi="Times New Roman" w:eastAsia="仿宋_GB2312" w:cs="Times New Roman"/>
          <w:kern w:val="0"/>
          <w:szCs w:val="21"/>
        </w:rPr>
        <w:t>：20-40万元</w:t>
      </w:r>
    </w:p>
    <w:p>
      <w:pPr>
        <w:jc w:val="left"/>
        <w:rPr>
          <w:rFonts w:ascii="Times New Roman" w:hAnsi="Times New Roman" w:eastAsia="仿宋_GB2312" w:cs="Times New Roman"/>
          <w:kern w:val="0"/>
          <w:szCs w:val="21"/>
        </w:rPr>
      </w:pPr>
    </w:p>
    <w:p>
      <w:pPr>
        <w:jc w:val="left"/>
        <w:rPr>
          <w:rFonts w:ascii="黑体" w:hAnsi="黑体" w:eastAsia="黑体" w:cs="Times New Roman"/>
          <w:kern w:val="0"/>
          <w:szCs w:val="21"/>
        </w:rPr>
      </w:pPr>
      <w:r>
        <w:rPr>
          <w:rFonts w:ascii="黑体" w:hAnsi="黑体" w:eastAsia="黑体" w:cs="Times New Roman"/>
          <w:kern w:val="0"/>
          <w:szCs w:val="21"/>
        </w:rPr>
        <w:t>标杆企业</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浙江天圣控股集团有限公司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岗位名称：采购物流、行政管理、资金财务；造价审计</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学历要求：大学本科</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人数：共24人</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年薪：10-20万元；15-18万元</w:t>
      </w:r>
    </w:p>
    <w:p>
      <w:pPr>
        <w:jc w:val="left"/>
        <w:rPr>
          <w:rFonts w:ascii="Times New Roman" w:hAnsi="Times New Roman" w:eastAsia="仿宋_GB2312" w:cs="Times New Roman"/>
          <w:kern w:val="0"/>
          <w:szCs w:val="21"/>
        </w:rPr>
      </w:pP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浙江佳宝新纤维集团有限公司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岗位名称：业务员</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学历要求</w:t>
      </w:r>
      <w:r>
        <w:rPr>
          <w:rFonts w:hint="eastAsia" w:ascii="Times New Roman" w:hAnsi="Times New Roman" w:eastAsia="仿宋_GB2312" w:cs="Times New Roman"/>
          <w:kern w:val="0"/>
          <w:szCs w:val="21"/>
        </w:rPr>
        <w:t>：大学本科</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人数</w:t>
      </w:r>
      <w:r>
        <w:rPr>
          <w:rFonts w:hint="eastAsia" w:ascii="Times New Roman" w:hAnsi="Times New Roman" w:eastAsia="仿宋_GB2312" w:cs="Times New Roman"/>
          <w:kern w:val="0"/>
          <w:szCs w:val="21"/>
        </w:rPr>
        <w:t>：10</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年薪</w:t>
      </w:r>
      <w:r>
        <w:rPr>
          <w:rFonts w:hint="eastAsia" w:ascii="Times New Roman" w:hAnsi="Times New Roman" w:eastAsia="仿宋_GB2312" w:cs="Times New Roman"/>
          <w:kern w:val="0"/>
          <w:szCs w:val="21"/>
        </w:rPr>
        <w:t>：10-20万元</w:t>
      </w:r>
    </w:p>
    <w:p>
      <w:pPr>
        <w:jc w:val="left"/>
        <w:rPr>
          <w:rFonts w:ascii="Times New Roman" w:hAnsi="Times New Roman" w:eastAsia="仿宋_GB2312" w:cs="Times New Roman"/>
          <w:kern w:val="0"/>
          <w:szCs w:val="21"/>
        </w:rPr>
      </w:pP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上虞颖泰精细化工有限公司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岗位名称：高级工艺设计工程师</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学历要求</w:t>
      </w:r>
      <w:r>
        <w:rPr>
          <w:rFonts w:hint="eastAsia" w:ascii="Times New Roman" w:hAnsi="Times New Roman" w:eastAsia="仿宋_GB2312" w:cs="Times New Roman"/>
          <w:kern w:val="0"/>
          <w:szCs w:val="21"/>
        </w:rPr>
        <w:t>：大学本科</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人数</w:t>
      </w:r>
      <w:r>
        <w:rPr>
          <w:rFonts w:hint="eastAsia" w:ascii="Times New Roman" w:hAnsi="Times New Roman" w:eastAsia="仿宋_GB2312" w:cs="Times New Roman"/>
          <w:kern w:val="0"/>
          <w:szCs w:val="21"/>
        </w:rPr>
        <w:t>：10人</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年薪</w:t>
      </w:r>
      <w:r>
        <w:rPr>
          <w:rFonts w:hint="eastAsia" w:ascii="Times New Roman" w:hAnsi="Times New Roman" w:eastAsia="仿宋_GB2312" w:cs="Times New Roman"/>
          <w:kern w:val="0"/>
          <w:szCs w:val="21"/>
        </w:rPr>
        <w:t>：19-30万元</w:t>
      </w:r>
    </w:p>
    <w:p>
      <w:pPr>
        <w:jc w:val="left"/>
        <w:rPr>
          <w:rFonts w:ascii="Times New Roman" w:hAnsi="Times New Roman" w:eastAsia="仿宋_GB2312" w:cs="Times New Roman"/>
          <w:kern w:val="0"/>
          <w:szCs w:val="21"/>
        </w:rPr>
      </w:pPr>
    </w:p>
    <w:p>
      <w:pPr>
        <w:jc w:val="left"/>
        <w:rPr>
          <w:rFonts w:ascii="黑体" w:hAnsi="黑体" w:eastAsia="黑体" w:cs="Times New Roman"/>
          <w:kern w:val="0"/>
          <w:szCs w:val="21"/>
        </w:rPr>
      </w:pPr>
      <w:r>
        <w:rPr>
          <w:rFonts w:ascii="黑体" w:hAnsi="黑体" w:eastAsia="黑体" w:cs="Times New Roman"/>
          <w:kern w:val="0"/>
          <w:szCs w:val="21"/>
        </w:rPr>
        <w:t>优质企业</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浙江华汇建设投资集团有限公司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岗位名称：方案规划、建筑设计；区域经济</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学历要求</w:t>
      </w:r>
      <w:r>
        <w:rPr>
          <w:rFonts w:hint="eastAsia" w:ascii="Times New Roman" w:hAnsi="Times New Roman" w:eastAsia="仿宋_GB2312" w:cs="Times New Roman"/>
          <w:kern w:val="0"/>
          <w:szCs w:val="21"/>
        </w:rPr>
        <w:t>：大学本科</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人数</w:t>
      </w:r>
      <w:r>
        <w:rPr>
          <w:rFonts w:hint="eastAsia" w:ascii="Times New Roman" w:hAnsi="Times New Roman" w:eastAsia="仿宋_GB2312" w:cs="Times New Roman"/>
          <w:kern w:val="0"/>
          <w:szCs w:val="21"/>
        </w:rPr>
        <w:t>：共72人</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年薪</w:t>
      </w:r>
      <w:r>
        <w:rPr>
          <w:rFonts w:hint="eastAsia" w:ascii="Times New Roman" w:hAnsi="Times New Roman" w:eastAsia="仿宋_GB2312" w:cs="Times New Roman"/>
          <w:kern w:val="0"/>
          <w:szCs w:val="21"/>
        </w:rPr>
        <w:t>：6-30万元；10-20万元</w:t>
      </w:r>
    </w:p>
    <w:p>
      <w:pPr>
        <w:jc w:val="left"/>
        <w:rPr>
          <w:rFonts w:ascii="Times New Roman" w:hAnsi="Times New Roman" w:eastAsia="仿宋_GB2312" w:cs="Times New Roman"/>
          <w:kern w:val="0"/>
          <w:szCs w:val="21"/>
        </w:rPr>
      </w:pP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浙江绍兴瑞丰农村商业银行股份有限公司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岗位名称：客户经理</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学历要求</w:t>
      </w:r>
      <w:r>
        <w:rPr>
          <w:rFonts w:hint="eastAsia" w:ascii="Times New Roman" w:hAnsi="Times New Roman" w:eastAsia="仿宋_GB2312" w:cs="Times New Roman"/>
          <w:kern w:val="0"/>
          <w:szCs w:val="21"/>
        </w:rPr>
        <w:t>：大学本科</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人数</w:t>
      </w:r>
      <w:r>
        <w:rPr>
          <w:rFonts w:hint="eastAsia" w:ascii="Times New Roman" w:hAnsi="Times New Roman" w:eastAsia="仿宋_GB2312" w:cs="Times New Roman"/>
          <w:kern w:val="0"/>
          <w:szCs w:val="21"/>
        </w:rPr>
        <w:t>：共70人</w:t>
      </w:r>
    </w:p>
    <w:p>
      <w:pPr>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年薪</w:t>
      </w:r>
      <w:r>
        <w:rPr>
          <w:rFonts w:hint="eastAsia" w:ascii="Times New Roman" w:hAnsi="Times New Roman" w:eastAsia="仿宋_GB2312" w:cs="Times New Roman"/>
          <w:kern w:val="0"/>
          <w:szCs w:val="21"/>
        </w:rPr>
        <w:t>：10-15万元</w:t>
      </w:r>
    </w:p>
    <w:p>
      <w:pPr>
        <w:jc w:val="left"/>
        <w:rPr>
          <w:rFonts w:ascii="Times New Roman" w:hAnsi="Times New Roman" w:eastAsia="仿宋_GB2312" w:cs="Times New Roman"/>
          <w:kern w:val="0"/>
          <w:szCs w:val="21"/>
        </w:rPr>
      </w:pP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诸暨荣怀学校</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岗位名称：中学教师</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学历要求：大学本科</w:t>
      </w:r>
      <w:bookmarkStart w:id="0" w:name="_GoBack"/>
      <w:bookmarkEnd w:id="0"/>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人数：30人</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年薪：10-15万</w:t>
      </w:r>
    </w:p>
    <w:p>
      <w:pPr>
        <w:jc w:val="left"/>
        <w:rPr>
          <w:rFonts w:ascii="Times New Roman" w:hAnsi="Times New Roman" w:eastAsia="仿宋_GB2312" w:cs="Times New Roman"/>
          <w:kern w:val="0"/>
          <w:szCs w:val="21"/>
        </w:rPr>
      </w:pP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浙江爱瑞卡普田电器有限公司</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岗位名称：区域经理</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学历要求：大学本科</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人数：5人</w:t>
      </w:r>
    </w:p>
    <w:p>
      <w:pPr>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年薪：10-30万</w:t>
      </w: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绍兴，因人才而兴</w:t>
      </w: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未来，因人才而来</w:t>
      </w:r>
    </w:p>
    <w:p>
      <w:pPr>
        <w:jc w:val="center"/>
        <w:rPr>
          <w:rFonts w:ascii="Times New Roman" w:hAnsi="Times New Roman" w:eastAsia="仿宋_GB2312" w:cs="Times New Roman"/>
          <w:kern w:val="0"/>
          <w:szCs w:val="21"/>
        </w:rPr>
      </w:pPr>
    </w:p>
    <w:p>
      <w:pPr>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加入我们</w:t>
      </w:r>
    </w:p>
    <w:p>
      <w:pPr>
        <w:pStyle w:val="7"/>
        <w:widowControl/>
        <w:spacing w:beforeAutospacing="0" w:afterAutospacing="0"/>
        <w:jc w:val="center"/>
        <w:rPr>
          <w:rFonts w:ascii="Times New Roman" w:hAnsi="Times New Roman" w:eastAsia="仿宋_GB2312"/>
          <w:sz w:val="21"/>
          <w:szCs w:val="21"/>
        </w:rPr>
      </w:pPr>
      <w:r>
        <w:rPr>
          <w:rFonts w:hint="eastAsia" w:ascii="Times New Roman" w:hAnsi="Times New Roman" w:eastAsia="仿宋_GB2312"/>
          <w:sz w:val="21"/>
          <w:szCs w:val="21"/>
        </w:rPr>
        <w:t>不负“绍”华！</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B44AE6"/>
    <w:rsid w:val="00031C12"/>
    <w:rsid w:val="000449A2"/>
    <w:rsid w:val="00044BAF"/>
    <w:rsid w:val="00047231"/>
    <w:rsid w:val="00051B41"/>
    <w:rsid w:val="00062FDB"/>
    <w:rsid w:val="0009763B"/>
    <w:rsid w:val="000B2608"/>
    <w:rsid w:val="000C14A6"/>
    <w:rsid w:val="000C35A4"/>
    <w:rsid w:val="000D19B3"/>
    <w:rsid w:val="00124502"/>
    <w:rsid w:val="00133F41"/>
    <w:rsid w:val="00133F7F"/>
    <w:rsid w:val="00143F31"/>
    <w:rsid w:val="001A0F01"/>
    <w:rsid w:val="001A7F82"/>
    <w:rsid w:val="00220B9F"/>
    <w:rsid w:val="00227659"/>
    <w:rsid w:val="00232B92"/>
    <w:rsid w:val="00233E17"/>
    <w:rsid w:val="0023445B"/>
    <w:rsid w:val="00244EE2"/>
    <w:rsid w:val="00247BF7"/>
    <w:rsid w:val="002908BC"/>
    <w:rsid w:val="00292767"/>
    <w:rsid w:val="00293532"/>
    <w:rsid w:val="002A12E5"/>
    <w:rsid w:val="002B3CC1"/>
    <w:rsid w:val="002B4B75"/>
    <w:rsid w:val="002C5EC5"/>
    <w:rsid w:val="002C69EA"/>
    <w:rsid w:val="003315AB"/>
    <w:rsid w:val="00334131"/>
    <w:rsid w:val="003530A5"/>
    <w:rsid w:val="003545AD"/>
    <w:rsid w:val="003714EF"/>
    <w:rsid w:val="003827D3"/>
    <w:rsid w:val="0039170E"/>
    <w:rsid w:val="00395868"/>
    <w:rsid w:val="003C5357"/>
    <w:rsid w:val="003D49A6"/>
    <w:rsid w:val="003F390C"/>
    <w:rsid w:val="00421063"/>
    <w:rsid w:val="00472615"/>
    <w:rsid w:val="004A4BF1"/>
    <w:rsid w:val="004C113E"/>
    <w:rsid w:val="005019D8"/>
    <w:rsid w:val="0057118E"/>
    <w:rsid w:val="005B3391"/>
    <w:rsid w:val="005D75AD"/>
    <w:rsid w:val="005F272F"/>
    <w:rsid w:val="00614C61"/>
    <w:rsid w:val="00617281"/>
    <w:rsid w:val="0062783F"/>
    <w:rsid w:val="00635AAD"/>
    <w:rsid w:val="00645805"/>
    <w:rsid w:val="006515A6"/>
    <w:rsid w:val="00680D0A"/>
    <w:rsid w:val="006A3879"/>
    <w:rsid w:val="006E6C5A"/>
    <w:rsid w:val="007821E9"/>
    <w:rsid w:val="007942D6"/>
    <w:rsid w:val="007B1C25"/>
    <w:rsid w:val="007E4987"/>
    <w:rsid w:val="00805A53"/>
    <w:rsid w:val="0081305A"/>
    <w:rsid w:val="00815750"/>
    <w:rsid w:val="0083235A"/>
    <w:rsid w:val="00850223"/>
    <w:rsid w:val="00855CC8"/>
    <w:rsid w:val="008870DF"/>
    <w:rsid w:val="008906CB"/>
    <w:rsid w:val="008C512A"/>
    <w:rsid w:val="008E3A6F"/>
    <w:rsid w:val="00925545"/>
    <w:rsid w:val="00937895"/>
    <w:rsid w:val="009B2A4D"/>
    <w:rsid w:val="009B5296"/>
    <w:rsid w:val="009B67AD"/>
    <w:rsid w:val="009C4C3F"/>
    <w:rsid w:val="009E105A"/>
    <w:rsid w:val="009E459A"/>
    <w:rsid w:val="009F254D"/>
    <w:rsid w:val="00A135D2"/>
    <w:rsid w:val="00A15EEF"/>
    <w:rsid w:val="00A3267E"/>
    <w:rsid w:val="00A51280"/>
    <w:rsid w:val="00A73C73"/>
    <w:rsid w:val="00A76821"/>
    <w:rsid w:val="00A80B22"/>
    <w:rsid w:val="00A864A8"/>
    <w:rsid w:val="00AB4746"/>
    <w:rsid w:val="00B11F08"/>
    <w:rsid w:val="00B11FB1"/>
    <w:rsid w:val="00B65B27"/>
    <w:rsid w:val="00B92C70"/>
    <w:rsid w:val="00BC2D59"/>
    <w:rsid w:val="00BC51B0"/>
    <w:rsid w:val="00C017DD"/>
    <w:rsid w:val="00C104EF"/>
    <w:rsid w:val="00C15679"/>
    <w:rsid w:val="00C207A5"/>
    <w:rsid w:val="00C32DEA"/>
    <w:rsid w:val="00C3726A"/>
    <w:rsid w:val="00C64784"/>
    <w:rsid w:val="00C64802"/>
    <w:rsid w:val="00C71A51"/>
    <w:rsid w:val="00C80085"/>
    <w:rsid w:val="00C863CA"/>
    <w:rsid w:val="00C9743C"/>
    <w:rsid w:val="00CB789D"/>
    <w:rsid w:val="00CC562E"/>
    <w:rsid w:val="00CF02C5"/>
    <w:rsid w:val="00D02B84"/>
    <w:rsid w:val="00D2000E"/>
    <w:rsid w:val="00D23E6D"/>
    <w:rsid w:val="00D4124A"/>
    <w:rsid w:val="00D73E0C"/>
    <w:rsid w:val="00DB63E9"/>
    <w:rsid w:val="00DC6E16"/>
    <w:rsid w:val="00DE520A"/>
    <w:rsid w:val="00E1031D"/>
    <w:rsid w:val="00E16468"/>
    <w:rsid w:val="00E32018"/>
    <w:rsid w:val="00E46D07"/>
    <w:rsid w:val="00E7164D"/>
    <w:rsid w:val="00E740E9"/>
    <w:rsid w:val="00E7513A"/>
    <w:rsid w:val="00E96E48"/>
    <w:rsid w:val="00EC0816"/>
    <w:rsid w:val="00F22C88"/>
    <w:rsid w:val="00F34EFD"/>
    <w:rsid w:val="00F53B6E"/>
    <w:rsid w:val="00F55E71"/>
    <w:rsid w:val="00F64529"/>
    <w:rsid w:val="00F648A8"/>
    <w:rsid w:val="00F849CF"/>
    <w:rsid w:val="00F8656C"/>
    <w:rsid w:val="00F874E4"/>
    <w:rsid w:val="00FB0E17"/>
    <w:rsid w:val="00FB7C73"/>
    <w:rsid w:val="00FC6BDE"/>
    <w:rsid w:val="00FD2D75"/>
    <w:rsid w:val="00FF1F65"/>
    <w:rsid w:val="030E0D44"/>
    <w:rsid w:val="03112402"/>
    <w:rsid w:val="04AC16AB"/>
    <w:rsid w:val="07D10184"/>
    <w:rsid w:val="08876468"/>
    <w:rsid w:val="08E80649"/>
    <w:rsid w:val="094B59E6"/>
    <w:rsid w:val="0A8B62F6"/>
    <w:rsid w:val="0B293735"/>
    <w:rsid w:val="0ED530CB"/>
    <w:rsid w:val="0F6F7928"/>
    <w:rsid w:val="0F746446"/>
    <w:rsid w:val="0FFE42CA"/>
    <w:rsid w:val="10BA3A33"/>
    <w:rsid w:val="10FA0DE2"/>
    <w:rsid w:val="154D707E"/>
    <w:rsid w:val="15C43F86"/>
    <w:rsid w:val="15CC00F4"/>
    <w:rsid w:val="18717BE4"/>
    <w:rsid w:val="19F75383"/>
    <w:rsid w:val="1B3619E1"/>
    <w:rsid w:val="1CD87D24"/>
    <w:rsid w:val="1D602E86"/>
    <w:rsid w:val="1DA4353E"/>
    <w:rsid w:val="1F8E77C3"/>
    <w:rsid w:val="21D83286"/>
    <w:rsid w:val="22285429"/>
    <w:rsid w:val="22E01028"/>
    <w:rsid w:val="235D4DD2"/>
    <w:rsid w:val="237D51DB"/>
    <w:rsid w:val="249F28EA"/>
    <w:rsid w:val="24A83BE3"/>
    <w:rsid w:val="2530190B"/>
    <w:rsid w:val="25A54CFD"/>
    <w:rsid w:val="26A9327C"/>
    <w:rsid w:val="2773068B"/>
    <w:rsid w:val="286B055B"/>
    <w:rsid w:val="28777F09"/>
    <w:rsid w:val="29E74372"/>
    <w:rsid w:val="2A182234"/>
    <w:rsid w:val="2A6F0A0C"/>
    <w:rsid w:val="2B0F1785"/>
    <w:rsid w:val="2B353D89"/>
    <w:rsid w:val="2C3C706C"/>
    <w:rsid w:val="2DB63C59"/>
    <w:rsid w:val="317A5DE9"/>
    <w:rsid w:val="32AF01CA"/>
    <w:rsid w:val="337D43C5"/>
    <w:rsid w:val="33E5196A"/>
    <w:rsid w:val="33FB7B3C"/>
    <w:rsid w:val="340D740A"/>
    <w:rsid w:val="35127E0A"/>
    <w:rsid w:val="35801EC2"/>
    <w:rsid w:val="35EB38E0"/>
    <w:rsid w:val="386C287C"/>
    <w:rsid w:val="39251A19"/>
    <w:rsid w:val="39D3457D"/>
    <w:rsid w:val="3AE82E09"/>
    <w:rsid w:val="3C6E796B"/>
    <w:rsid w:val="3CFD5BF3"/>
    <w:rsid w:val="3D7C57D1"/>
    <w:rsid w:val="3E3F59EE"/>
    <w:rsid w:val="3E9C7F64"/>
    <w:rsid w:val="40EB0310"/>
    <w:rsid w:val="414F0C53"/>
    <w:rsid w:val="41A13C97"/>
    <w:rsid w:val="44787525"/>
    <w:rsid w:val="459E571F"/>
    <w:rsid w:val="48575DC3"/>
    <w:rsid w:val="48BF7DDF"/>
    <w:rsid w:val="495D17DE"/>
    <w:rsid w:val="4D004866"/>
    <w:rsid w:val="4D8C6FDB"/>
    <w:rsid w:val="4DA66A8A"/>
    <w:rsid w:val="4DC40FE1"/>
    <w:rsid w:val="4E03540D"/>
    <w:rsid w:val="4E5A576B"/>
    <w:rsid w:val="4EDB662F"/>
    <w:rsid w:val="4FA63BD1"/>
    <w:rsid w:val="51FD6632"/>
    <w:rsid w:val="52081528"/>
    <w:rsid w:val="52085230"/>
    <w:rsid w:val="53ED5F8F"/>
    <w:rsid w:val="543A09B1"/>
    <w:rsid w:val="58854B29"/>
    <w:rsid w:val="5A4A67A4"/>
    <w:rsid w:val="5B5D58CA"/>
    <w:rsid w:val="5C9C3B65"/>
    <w:rsid w:val="5D011F2E"/>
    <w:rsid w:val="5D607484"/>
    <w:rsid w:val="600540CE"/>
    <w:rsid w:val="63C02CC3"/>
    <w:rsid w:val="63F5753D"/>
    <w:rsid w:val="646A1574"/>
    <w:rsid w:val="68DD1360"/>
    <w:rsid w:val="692E1744"/>
    <w:rsid w:val="69F721EF"/>
    <w:rsid w:val="6A222857"/>
    <w:rsid w:val="6C0B56C7"/>
    <w:rsid w:val="6C561B62"/>
    <w:rsid w:val="6C9E7230"/>
    <w:rsid w:val="6D3B1684"/>
    <w:rsid w:val="6D7A3076"/>
    <w:rsid w:val="6D7C5A02"/>
    <w:rsid w:val="6D9514D9"/>
    <w:rsid w:val="6E4F23CB"/>
    <w:rsid w:val="6EB44AE6"/>
    <w:rsid w:val="6EF064E6"/>
    <w:rsid w:val="6F572ABD"/>
    <w:rsid w:val="70C26277"/>
    <w:rsid w:val="725877EE"/>
    <w:rsid w:val="73A365EB"/>
    <w:rsid w:val="7457052E"/>
    <w:rsid w:val="74EE0DEB"/>
    <w:rsid w:val="758847B8"/>
    <w:rsid w:val="79372010"/>
    <w:rsid w:val="7A593023"/>
    <w:rsid w:val="7ABD7CDE"/>
    <w:rsid w:val="7C516B4F"/>
    <w:rsid w:val="7C7405CF"/>
    <w:rsid w:val="7DD9689E"/>
    <w:rsid w:val="7F067FBD"/>
    <w:rsid w:val="7F5A00FE"/>
    <w:rsid w:val="7FD851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uiPriority w:val="0"/>
    <w:rPr>
      <w:sz w:val="18"/>
      <w:szCs w:val="18"/>
    </w:rPr>
  </w:style>
  <w:style w:type="paragraph" w:styleId="5">
    <w:name w:val="footer"/>
    <w:basedOn w:val="1"/>
    <w:link w:val="16"/>
    <w:uiPriority w:val="0"/>
    <w:pPr>
      <w:tabs>
        <w:tab w:val="center" w:pos="4153"/>
        <w:tab w:val="right" w:pos="8306"/>
      </w:tabs>
      <w:snapToGrid w:val="0"/>
      <w:jc w:val="left"/>
    </w:pPr>
    <w:rPr>
      <w:sz w:val="18"/>
      <w:szCs w:val="18"/>
    </w:rPr>
  </w:style>
  <w:style w:type="paragraph" w:styleId="6">
    <w:name w:val="header"/>
    <w:basedOn w:val="1"/>
    <w:link w:val="15"/>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spacing w:beforeAutospacing="1" w:afterAutospacing="1"/>
      <w:jc w:val="left"/>
    </w:pPr>
    <w:rPr>
      <w:rFonts w:cs="Times New Roman"/>
      <w:kern w:val="0"/>
      <w:sz w:val="24"/>
    </w:rPr>
  </w:style>
  <w:style w:type="table" w:styleId="9">
    <w:name w:val="Table Grid"/>
    <w:basedOn w:val="8"/>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customStyle="1" w:styleId="12">
    <w:name w:val="NormalCharacter"/>
    <w:qFormat/>
    <w:uiPriority w:val="0"/>
  </w:style>
  <w:style w:type="character" w:customStyle="1" w:styleId="13">
    <w:name w:val="批注框文本 Char"/>
    <w:basedOn w:val="10"/>
    <w:link w:val="4"/>
    <w:uiPriority w:val="0"/>
    <w:rPr>
      <w:rFonts w:asciiTheme="minorHAnsi" w:hAnsiTheme="minorHAnsi" w:eastAsiaTheme="minorEastAsia" w:cstheme="minorBidi"/>
      <w:kern w:val="2"/>
      <w:sz w:val="18"/>
      <w:szCs w:val="18"/>
    </w:rPr>
  </w:style>
  <w:style w:type="character" w:customStyle="1" w:styleId="14">
    <w:name w:val="标题 1 Char"/>
    <w:basedOn w:val="10"/>
    <w:link w:val="2"/>
    <w:uiPriority w:val="0"/>
    <w:rPr>
      <w:rFonts w:asciiTheme="minorHAnsi" w:hAnsiTheme="minorHAnsi" w:eastAsiaTheme="minorEastAsia" w:cstheme="minorBidi"/>
      <w:b/>
      <w:bCs/>
      <w:kern w:val="44"/>
      <w:sz w:val="44"/>
      <w:szCs w:val="44"/>
    </w:rPr>
  </w:style>
  <w:style w:type="character" w:customStyle="1" w:styleId="15">
    <w:name w:val="页眉 Char"/>
    <w:basedOn w:val="10"/>
    <w:link w:val="6"/>
    <w:uiPriority w:val="0"/>
    <w:rPr>
      <w:rFonts w:asciiTheme="minorHAnsi" w:hAnsiTheme="minorHAnsi" w:eastAsiaTheme="minorEastAsia" w:cstheme="minorBidi"/>
      <w:kern w:val="2"/>
      <w:sz w:val="18"/>
      <w:szCs w:val="18"/>
    </w:rPr>
  </w:style>
  <w:style w:type="character" w:customStyle="1" w:styleId="16">
    <w:name w:val="页脚 Char"/>
    <w:basedOn w:val="10"/>
    <w:link w:val="5"/>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GIF"/><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532</Words>
  <Characters>3039</Characters>
  <Lines>25</Lines>
  <Paragraphs>7</Paragraphs>
  <TotalTime>368</TotalTime>
  <ScaleCrop>false</ScaleCrop>
  <LinksUpToDate>false</LinksUpToDate>
  <CharactersWithSpaces>3564</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2020-08-26T07:08:00Z</dcterms:created>
  <dc:creator>译天天天天</dc:creator>
  <cp:lastModifiedBy>mmm...</cp:lastModifiedBy>
  <dcterms:modified xsi:type="dcterms:W3CDTF">2020-09-15T07:51:20Z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