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Theme="minorEastAsia" w:hAnsiTheme="minorEastAsia" w:eastAsiaTheme="minorEastAsia" w:cstheme="minorEastAsia"/>
          <w:b/>
          <w:bCs/>
          <w:i w:val="0"/>
          <w:caps w:val="0"/>
          <w:color w:val="000000"/>
          <w:spacing w:val="0"/>
          <w:sz w:val="28"/>
          <w:szCs w:val="28"/>
        </w:rPr>
      </w:pPr>
      <w:bookmarkStart w:id="0" w:name="_GoBack"/>
      <w:r>
        <w:rPr>
          <w:rFonts w:hint="eastAsia" w:asciiTheme="minorEastAsia" w:hAnsiTheme="minorEastAsia" w:eastAsiaTheme="minorEastAsia" w:cstheme="minorEastAsia"/>
          <w:b/>
          <w:bCs/>
          <w:i w:val="0"/>
          <w:caps w:val="0"/>
          <w:color w:val="000000"/>
          <w:spacing w:val="0"/>
          <w:sz w:val="28"/>
          <w:szCs w:val="28"/>
          <w:bdr w:val="none" w:color="auto" w:sz="0" w:space="0"/>
          <w:lang w:eastAsia="zh-CN"/>
        </w:rPr>
        <w:t>国务院学位委员会关于</w:t>
      </w:r>
      <w:r>
        <w:rPr>
          <w:rFonts w:hint="eastAsia" w:asciiTheme="minorEastAsia" w:hAnsiTheme="minorEastAsia" w:eastAsiaTheme="minorEastAsia" w:cstheme="minorEastAsia"/>
          <w:b/>
          <w:bCs/>
          <w:i w:val="0"/>
          <w:caps w:val="0"/>
          <w:color w:val="000000"/>
          <w:spacing w:val="0"/>
          <w:sz w:val="28"/>
          <w:szCs w:val="28"/>
          <w:bdr w:val="none" w:color="auto" w:sz="0" w:space="0"/>
        </w:rPr>
        <w:t>申报硕士学位授权一级学科点最低要求</w:t>
      </w:r>
    </w:p>
    <w:bookmarkEnd w:id="0"/>
    <w:p>
      <w:pPr>
        <w:keepNext w:val="0"/>
        <w:keepLines w:val="0"/>
        <w:widowControl/>
        <w:suppressLineNumbers w:val="0"/>
        <w:ind w:left="0" w:firstLine="0"/>
        <w:rPr>
          <w:rFonts w:ascii="宋体" w:hAnsi="宋体" w:eastAsia="宋体" w:cs="宋体"/>
          <w:i w:val="0"/>
          <w:caps w:val="0"/>
          <w:color w:val="000000"/>
          <w:spacing w:val="0"/>
          <w:sz w:val="18"/>
          <w:szCs w:val="18"/>
        </w:rPr>
      </w:pPr>
    </w:p>
    <w:tbl>
      <w:tblPr>
        <w:tblW w:w="8460"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080"/>
        <w:gridCol w:w="2160"/>
        <w:gridCol w:w="522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c>
          <w:tcPr>
            <w:tcW w:w="108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ascii="仿宋_GB2312" w:eastAsia="仿宋_GB2312" w:cs="仿宋_GB2312" w:hAnsiTheme="minorHAnsi"/>
                <w:b/>
                <w:kern w:val="0"/>
                <w:sz w:val="24"/>
                <w:szCs w:val="24"/>
                <w:bdr w:val="none" w:color="auto" w:sz="0" w:space="0"/>
                <w:lang w:val="en-US" w:eastAsia="zh-CN" w:bidi="ar"/>
              </w:rPr>
              <w:t>指标项</w:t>
            </w:r>
          </w:p>
        </w:tc>
        <w:tc>
          <w:tcPr>
            <w:tcW w:w="216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仿宋_GB2312" w:eastAsia="仿宋_GB2312" w:cs="仿宋_GB2312" w:hAnsiTheme="minorHAnsi"/>
                <w:b/>
                <w:kern w:val="0"/>
                <w:sz w:val="24"/>
                <w:szCs w:val="24"/>
                <w:bdr w:val="none" w:color="auto" w:sz="0" w:space="0"/>
                <w:lang w:val="en-US" w:eastAsia="zh-CN" w:bidi="ar"/>
              </w:rPr>
              <w:t>指标要求</w:t>
            </w:r>
          </w:p>
        </w:tc>
        <w:tc>
          <w:tcPr>
            <w:tcW w:w="522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仿宋_GB2312" w:eastAsia="仿宋_GB2312" w:cs="仿宋_GB2312" w:hAnsiTheme="minorHAnsi"/>
                <w:b/>
                <w:kern w:val="0"/>
                <w:sz w:val="24"/>
                <w:szCs w:val="24"/>
                <w:bdr w:val="none" w:color="auto" w:sz="0" w:space="0"/>
                <w:lang w:val="en-US" w:eastAsia="zh-CN" w:bidi="ar"/>
              </w:rPr>
              <w:t>指标说明</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10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仿宋_GB2312" w:eastAsia="仿宋_GB2312" w:cs="仿宋_GB2312" w:hAnsiTheme="minorHAnsi"/>
                <w:b/>
                <w:kern w:val="0"/>
                <w:sz w:val="24"/>
                <w:szCs w:val="24"/>
                <w:bdr w:val="none" w:color="auto" w:sz="0" w:space="0"/>
                <w:lang w:val="en-US" w:eastAsia="zh-CN" w:bidi="ar"/>
              </w:rPr>
              <w:t>教授数</w:t>
            </w:r>
          </w:p>
        </w:tc>
        <w:tc>
          <w:tcPr>
            <w:tcW w:w="21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3</w:t>
            </w:r>
            <w:r>
              <w:rPr>
                <w:rFonts w:hint="default" w:ascii="仿宋_GB2312" w:eastAsia="仿宋_GB2312" w:cs="仿宋_GB2312" w:hAnsiTheme="minorHAnsi"/>
                <w:kern w:val="0"/>
                <w:sz w:val="24"/>
                <w:szCs w:val="24"/>
                <w:bdr w:val="none" w:color="auto" w:sz="0" w:space="0"/>
                <w:lang w:val="en-US" w:eastAsia="zh-CN" w:bidi="ar"/>
              </w:rPr>
              <w:t>人</w:t>
            </w:r>
          </w:p>
        </w:tc>
        <w:tc>
          <w:tcPr>
            <w:tcW w:w="52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left"/>
            </w:pPr>
            <w:r>
              <w:rPr>
                <w:rFonts w:hint="default" w:ascii="仿宋_GB2312" w:eastAsia="仿宋_GB2312" w:cs="仿宋_GB2312" w:hAnsiTheme="minorHAnsi"/>
                <w:kern w:val="0"/>
                <w:sz w:val="24"/>
                <w:szCs w:val="24"/>
                <w:bdr w:val="none" w:color="auto" w:sz="0" w:space="0"/>
                <w:lang w:val="en-US" w:eastAsia="zh-CN" w:bidi="ar"/>
              </w:rPr>
              <w:t>本学科教授（或相当专业技术职务）数。所统计人员应为人事关系隶属本单位的在编人员。</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10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仿宋_GB2312" w:eastAsia="仿宋_GB2312" w:cs="仿宋_GB2312" w:hAnsiTheme="minorHAnsi"/>
                <w:b/>
                <w:kern w:val="0"/>
                <w:sz w:val="24"/>
                <w:szCs w:val="24"/>
                <w:bdr w:val="none" w:color="auto" w:sz="0" w:space="0"/>
                <w:lang w:val="en-US" w:eastAsia="zh-CN" w:bidi="ar"/>
              </w:rPr>
              <w:t>博士数</w:t>
            </w:r>
          </w:p>
        </w:tc>
        <w:tc>
          <w:tcPr>
            <w:tcW w:w="21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3</w:t>
            </w:r>
            <w:r>
              <w:rPr>
                <w:rFonts w:hint="default" w:ascii="仿宋_GB2312" w:eastAsia="仿宋_GB2312" w:cs="仿宋_GB2312" w:hAnsiTheme="minorHAnsi"/>
                <w:kern w:val="0"/>
                <w:sz w:val="24"/>
                <w:szCs w:val="24"/>
                <w:bdr w:val="none" w:color="auto" w:sz="0" w:space="0"/>
                <w:lang w:val="en-US" w:eastAsia="zh-CN" w:bidi="ar"/>
              </w:rPr>
              <w:t>人</w:t>
            </w:r>
          </w:p>
        </w:tc>
        <w:tc>
          <w:tcPr>
            <w:tcW w:w="52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left"/>
            </w:pPr>
            <w:r>
              <w:rPr>
                <w:rFonts w:hint="default" w:ascii="仿宋_GB2312" w:eastAsia="仿宋_GB2312" w:cs="仿宋_GB2312" w:hAnsiTheme="minorHAnsi"/>
                <w:kern w:val="0"/>
                <w:sz w:val="24"/>
                <w:szCs w:val="24"/>
                <w:bdr w:val="none" w:color="auto" w:sz="0" w:space="0"/>
                <w:lang w:val="en-US" w:eastAsia="zh-CN" w:bidi="ar"/>
              </w:rPr>
              <w:t>本学科具有博士学位人员数。所统计人员应为人事关系隶属本单位的在编人员。</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682" w:hRule="atLeast"/>
        </w:trPr>
        <w:tc>
          <w:tcPr>
            <w:tcW w:w="10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仿宋_GB2312" w:eastAsia="仿宋_GB2312" w:cs="仿宋_GB2312" w:hAnsiTheme="minorHAnsi"/>
                <w:b/>
                <w:kern w:val="0"/>
                <w:sz w:val="24"/>
                <w:szCs w:val="24"/>
                <w:bdr w:val="none" w:color="auto" w:sz="0" w:space="0"/>
                <w:lang w:val="en-US" w:eastAsia="zh-CN" w:bidi="ar"/>
              </w:rPr>
              <w:t>科研</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仿宋_GB2312" w:eastAsia="仿宋_GB2312" w:cs="仿宋_GB2312" w:hAnsiTheme="minorHAnsi"/>
                <w:b/>
                <w:kern w:val="0"/>
                <w:sz w:val="24"/>
                <w:szCs w:val="24"/>
                <w:bdr w:val="none" w:color="auto" w:sz="0" w:space="0"/>
                <w:lang w:val="en-US" w:eastAsia="zh-CN" w:bidi="ar"/>
              </w:rPr>
              <w:t>经费</w:t>
            </w:r>
          </w:p>
        </w:tc>
        <w:tc>
          <w:tcPr>
            <w:tcW w:w="21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仿宋_GB2312" w:eastAsia="仿宋_GB2312" w:cs="仿宋_GB2312" w:hAnsiTheme="minorHAnsi"/>
                <w:kern w:val="0"/>
                <w:sz w:val="24"/>
                <w:szCs w:val="24"/>
                <w:bdr w:val="none" w:color="auto" w:sz="0" w:space="0"/>
                <w:lang w:val="en-US" w:eastAsia="zh-CN" w:bidi="ar"/>
              </w:rPr>
              <w:t>人文：</w:t>
            </w:r>
            <w:r>
              <w:rPr>
                <w:rFonts w:hint="default" w:ascii="Times New Roman" w:hAnsi="Times New Roman" w:cs="Times New Roman" w:eastAsiaTheme="minorEastAsia"/>
                <w:kern w:val="0"/>
                <w:sz w:val="24"/>
                <w:szCs w:val="24"/>
                <w:bdr w:val="none" w:color="auto" w:sz="0" w:space="0"/>
                <w:lang w:val="en-US" w:eastAsia="zh-CN" w:bidi="ar"/>
              </w:rPr>
              <w:t>50</w:t>
            </w:r>
            <w:r>
              <w:rPr>
                <w:rFonts w:hint="default" w:ascii="仿宋_GB2312" w:eastAsia="仿宋_GB2312" w:cs="仿宋_GB2312" w:hAnsiTheme="minorHAnsi"/>
                <w:kern w:val="0"/>
                <w:sz w:val="24"/>
                <w:szCs w:val="24"/>
                <w:bdr w:val="none" w:color="auto" w:sz="0" w:space="0"/>
                <w:lang w:val="en-US" w:eastAsia="zh-CN" w:bidi="ar"/>
              </w:rPr>
              <w:t>万元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仿宋_GB2312" w:eastAsia="仿宋_GB2312" w:cs="仿宋_GB2312" w:hAnsiTheme="minorHAnsi"/>
                <w:kern w:val="0"/>
                <w:sz w:val="24"/>
                <w:szCs w:val="24"/>
                <w:bdr w:val="none" w:color="auto" w:sz="0" w:space="0"/>
                <w:lang w:val="en-US" w:eastAsia="zh-CN" w:bidi="ar"/>
              </w:rPr>
              <w:t>社科：</w:t>
            </w:r>
            <w:r>
              <w:rPr>
                <w:rFonts w:hint="default" w:ascii="Times New Roman" w:hAnsi="Times New Roman" w:cs="Times New Roman" w:eastAsiaTheme="minorEastAsia"/>
                <w:kern w:val="0"/>
                <w:sz w:val="24"/>
                <w:szCs w:val="24"/>
                <w:bdr w:val="none" w:color="auto" w:sz="0" w:space="0"/>
                <w:lang w:val="en-US" w:eastAsia="zh-CN" w:bidi="ar"/>
              </w:rPr>
              <w:t>80</w:t>
            </w:r>
            <w:r>
              <w:rPr>
                <w:rFonts w:hint="default" w:ascii="仿宋_GB2312" w:eastAsia="仿宋_GB2312" w:cs="仿宋_GB2312" w:hAnsiTheme="minorHAnsi"/>
                <w:kern w:val="0"/>
                <w:sz w:val="24"/>
                <w:szCs w:val="24"/>
                <w:bdr w:val="none" w:color="auto" w:sz="0" w:space="0"/>
                <w:lang w:val="en-US" w:eastAsia="zh-CN" w:bidi="ar"/>
              </w:rPr>
              <w:t>万元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仿宋_GB2312" w:eastAsia="仿宋_GB2312" w:cs="仿宋_GB2312" w:hAnsiTheme="minorHAnsi"/>
                <w:kern w:val="0"/>
                <w:sz w:val="24"/>
                <w:szCs w:val="24"/>
                <w:bdr w:val="none" w:color="auto" w:sz="0" w:space="0"/>
                <w:lang w:val="en-US" w:eastAsia="zh-CN" w:bidi="ar"/>
              </w:rPr>
              <w:t>理科：</w:t>
            </w:r>
            <w:r>
              <w:rPr>
                <w:rFonts w:hint="default" w:ascii="Times New Roman" w:hAnsi="Times New Roman" w:cs="Times New Roman" w:eastAsiaTheme="minorEastAsia"/>
                <w:kern w:val="0"/>
                <w:sz w:val="24"/>
                <w:szCs w:val="24"/>
                <w:bdr w:val="none" w:color="auto" w:sz="0" w:space="0"/>
                <w:lang w:val="en-US" w:eastAsia="zh-CN" w:bidi="ar"/>
              </w:rPr>
              <w:t>160</w:t>
            </w:r>
            <w:r>
              <w:rPr>
                <w:rFonts w:hint="default" w:ascii="仿宋_GB2312" w:eastAsia="仿宋_GB2312" w:cs="仿宋_GB2312" w:hAnsiTheme="minorHAnsi"/>
                <w:kern w:val="0"/>
                <w:sz w:val="24"/>
                <w:szCs w:val="24"/>
                <w:bdr w:val="none" w:color="auto" w:sz="0" w:space="0"/>
                <w:lang w:val="en-US" w:eastAsia="zh-CN" w:bidi="ar"/>
              </w:rPr>
              <w:t>万元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仿宋_GB2312" w:eastAsia="仿宋_GB2312" w:cs="仿宋_GB2312" w:hAnsiTheme="minorHAnsi"/>
                <w:kern w:val="0"/>
                <w:sz w:val="24"/>
                <w:szCs w:val="24"/>
                <w:bdr w:val="none" w:color="auto" w:sz="0" w:space="0"/>
                <w:lang w:val="en-US" w:eastAsia="zh-CN" w:bidi="ar"/>
              </w:rPr>
              <w:t>工科：</w:t>
            </w:r>
            <w:r>
              <w:rPr>
                <w:rFonts w:hint="default" w:ascii="Times New Roman" w:hAnsi="Times New Roman" w:cs="Times New Roman" w:eastAsiaTheme="minorEastAsia"/>
                <w:kern w:val="0"/>
                <w:sz w:val="24"/>
                <w:szCs w:val="24"/>
                <w:bdr w:val="none" w:color="auto" w:sz="0" w:space="0"/>
                <w:lang w:val="en-US" w:eastAsia="zh-CN" w:bidi="ar"/>
              </w:rPr>
              <w:t>300</w:t>
            </w:r>
            <w:r>
              <w:rPr>
                <w:rFonts w:hint="default" w:ascii="仿宋_GB2312" w:eastAsia="仿宋_GB2312" w:cs="仿宋_GB2312" w:hAnsiTheme="minorHAnsi"/>
                <w:kern w:val="0"/>
                <w:sz w:val="24"/>
                <w:szCs w:val="24"/>
                <w:bdr w:val="none" w:color="auto" w:sz="0" w:space="0"/>
                <w:lang w:val="en-US" w:eastAsia="zh-CN" w:bidi="ar"/>
              </w:rPr>
              <w:t>万元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仿宋_GB2312" w:eastAsia="仿宋_GB2312" w:cs="仿宋_GB2312" w:hAnsiTheme="minorHAnsi"/>
                <w:kern w:val="0"/>
                <w:sz w:val="24"/>
                <w:szCs w:val="24"/>
                <w:bdr w:val="none" w:color="auto" w:sz="0" w:space="0"/>
                <w:lang w:val="en-US" w:eastAsia="zh-CN" w:bidi="ar"/>
              </w:rPr>
              <w:t>农林：</w:t>
            </w:r>
            <w:r>
              <w:rPr>
                <w:rFonts w:hint="default" w:ascii="Times New Roman" w:hAnsi="Times New Roman" w:cs="Times New Roman" w:eastAsiaTheme="minorEastAsia"/>
                <w:kern w:val="0"/>
                <w:sz w:val="24"/>
                <w:szCs w:val="24"/>
                <w:bdr w:val="none" w:color="auto" w:sz="0" w:space="0"/>
                <w:lang w:val="en-US" w:eastAsia="zh-CN" w:bidi="ar"/>
              </w:rPr>
              <w:t>250</w:t>
            </w:r>
            <w:r>
              <w:rPr>
                <w:rFonts w:hint="default" w:ascii="仿宋_GB2312" w:eastAsia="仿宋_GB2312" w:cs="仿宋_GB2312" w:hAnsiTheme="minorHAnsi"/>
                <w:kern w:val="0"/>
                <w:sz w:val="24"/>
                <w:szCs w:val="24"/>
                <w:bdr w:val="none" w:color="auto" w:sz="0" w:space="0"/>
                <w:lang w:val="en-US" w:eastAsia="zh-CN" w:bidi="ar"/>
              </w:rPr>
              <w:t>万元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仿宋_GB2312" w:eastAsia="仿宋_GB2312" w:cs="仿宋_GB2312" w:hAnsiTheme="minorHAnsi"/>
                <w:kern w:val="0"/>
                <w:sz w:val="24"/>
                <w:szCs w:val="24"/>
                <w:bdr w:val="none" w:color="auto" w:sz="0" w:space="0"/>
                <w:lang w:val="en-US" w:eastAsia="zh-CN" w:bidi="ar"/>
              </w:rPr>
              <w:t>医药：</w:t>
            </w:r>
            <w:r>
              <w:rPr>
                <w:rFonts w:hint="default" w:ascii="Times New Roman" w:hAnsi="Times New Roman" w:cs="Times New Roman" w:eastAsiaTheme="minorEastAsia"/>
                <w:kern w:val="0"/>
                <w:sz w:val="24"/>
                <w:szCs w:val="24"/>
                <w:bdr w:val="none" w:color="auto" w:sz="0" w:space="0"/>
                <w:lang w:val="en-US" w:eastAsia="zh-CN" w:bidi="ar"/>
              </w:rPr>
              <w:t>250</w:t>
            </w:r>
            <w:r>
              <w:rPr>
                <w:rFonts w:hint="default" w:ascii="仿宋_GB2312" w:eastAsia="仿宋_GB2312" w:cs="仿宋_GB2312" w:hAnsiTheme="minorHAnsi"/>
                <w:kern w:val="0"/>
                <w:sz w:val="24"/>
                <w:szCs w:val="24"/>
                <w:bdr w:val="none" w:color="auto" w:sz="0" w:space="0"/>
                <w:lang w:val="en-US" w:eastAsia="zh-CN" w:bidi="ar"/>
              </w:rPr>
              <w:t>万元</w:t>
            </w:r>
          </w:p>
        </w:tc>
        <w:tc>
          <w:tcPr>
            <w:tcW w:w="52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left"/>
            </w:pPr>
            <w:r>
              <w:rPr>
                <w:rFonts w:hint="default" w:ascii="仿宋_GB2312" w:eastAsia="仿宋_GB2312" w:cs="仿宋_GB2312" w:hAnsiTheme="minorHAnsi"/>
                <w:kern w:val="0"/>
                <w:sz w:val="24"/>
                <w:szCs w:val="24"/>
                <w:bdr w:val="none" w:color="auto" w:sz="0" w:space="0"/>
                <w:lang w:val="en-US" w:eastAsia="zh-CN" w:bidi="ar"/>
              </w:rPr>
              <w:t>本学科五年内实际获得并计入本单位财务账目的科研经费合计。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eastAsia="仿宋_GB2312" w:cs="仿宋_GB2312" w:hAnsiTheme="minorHAnsi"/>
                <w:kern w:val="0"/>
                <w:sz w:val="24"/>
                <w:szCs w:val="24"/>
                <w:bdr w:val="none" w:color="auto" w:sz="0" w:space="0"/>
                <w:lang w:val="en-US" w:eastAsia="zh-CN" w:bidi="ar"/>
              </w:rPr>
              <w:t>1.理科“科学技术史”按人文学科标准掌握；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eastAsia="仿宋_GB2312" w:cs="仿宋_GB2312" w:hAnsiTheme="minorHAnsi"/>
                <w:kern w:val="0"/>
                <w:sz w:val="24"/>
                <w:szCs w:val="24"/>
                <w:bdr w:val="none" w:color="auto" w:sz="0" w:space="0"/>
                <w:lang w:val="en-US" w:eastAsia="zh-CN" w:bidi="ar"/>
              </w:rPr>
              <w:t>2.工科“力学”、“光学工程”按理科标准掌握，“农业工程”、“林业工程”按农林标准掌握；</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left"/>
            </w:pPr>
            <w:r>
              <w:rPr>
                <w:rFonts w:hint="default" w:ascii="仿宋_GB2312" w:eastAsia="仿宋_GB2312" w:cs="仿宋_GB2312" w:hAnsiTheme="minorHAnsi"/>
                <w:kern w:val="0"/>
                <w:sz w:val="24"/>
                <w:szCs w:val="24"/>
                <w:bdr w:val="none" w:color="auto" w:sz="0" w:space="0"/>
                <w:lang w:val="en-US" w:eastAsia="zh-CN" w:bidi="ar"/>
              </w:rPr>
              <w:t>3.医学“公共卫生与预防医学”按社科标准掌握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10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仿宋_GB2312" w:eastAsia="仿宋_GB2312" w:cs="仿宋_GB2312" w:hAnsiTheme="minorHAnsi"/>
                <w:b/>
                <w:kern w:val="0"/>
                <w:sz w:val="24"/>
                <w:szCs w:val="24"/>
                <w:bdr w:val="none" w:color="auto" w:sz="0" w:space="0"/>
                <w:lang w:val="en-US" w:eastAsia="zh-CN" w:bidi="ar"/>
              </w:rPr>
              <w:t>纵向</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仿宋_GB2312" w:eastAsia="仿宋_GB2312" w:cs="仿宋_GB2312" w:hAnsiTheme="minorHAnsi"/>
                <w:b/>
                <w:kern w:val="0"/>
                <w:sz w:val="24"/>
                <w:szCs w:val="24"/>
                <w:bdr w:val="none" w:color="auto" w:sz="0" w:space="0"/>
                <w:lang w:val="en-US" w:eastAsia="zh-CN" w:bidi="ar"/>
              </w:rPr>
              <w:t>科研</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仿宋_GB2312" w:eastAsia="仿宋_GB2312" w:cs="仿宋_GB2312" w:hAnsiTheme="minorHAnsi"/>
                <w:b/>
                <w:kern w:val="0"/>
                <w:sz w:val="24"/>
                <w:szCs w:val="24"/>
                <w:bdr w:val="none" w:color="auto" w:sz="0" w:space="0"/>
                <w:lang w:val="en-US" w:eastAsia="zh-CN" w:bidi="ar"/>
              </w:rPr>
              <w:t>经费</w:t>
            </w:r>
          </w:p>
        </w:tc>
        <w:tc>
          <w:tcPr>
            <w:tcW w:w="21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仿宋_GB2312" w:eastAsia="仿宋_GB2312" w:cs="仿宋_GB2312" w:hAnsiTheme="minorHAnsi"/>
                <w:kern w:val="0"/>
                <w:sz w:val="24"/>
                <w:szCs w:val="24"/>
                <w:bdr w:val="none" w:color="auto" w:sz="0" w:space="0"/>
                <w:lang w:val="en-US" w:eastAsia="zh-CN" w:bidi="ar"/>
              </w:rPr>
              <w:t>人文：</w:t>
            </w:r>
            <w:r>
              <w:rPr>
                <w:rFonts w:hint="default" w:ascii="Times New Roman" w:hAnsi="Times New Roman" w:cs="Times New Roman" w:eastAsiaTheme="minorEastAsia"/>
                <w:kern w:val="0"/>
                <w:sz w:val="24"/>
                <w:szCs w:val="24"/>
                <w:bdr w:val="none" w:color="auto" w:sz="0" w:space="0"/>
                <w:lang w:val="en-US" w:eastAsia="zh-CN" w:bidi="ar"/>
              </w:rPr>
              <w:t>8</w:t>
            </w:r>
            <w:r>
              <w:rPr>
                <w:rFonts w:hint="default" w:ascii="仿宋_GB2312" w:eastAsia="仿宋_GB2312" w:cs="仿宋_GB2312" w:hAnsiTheme="minorHAnsi"/>
                <w:kern w:val="0"/>
                <w:sz w:val="24"/>
                <w:szCs w:val="24"/>
                <w:bdr w:val="none" w:color="auto" w:sz="0" w:space="0"/>
                <w:lang w:val="en-US" w:eastAsia="zh-CN" w:bidi="ar"/>
              </w:rPr>
              <w:t>万元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仿宋_GB2312" w:eastAsia="仿宋_GB2312" w:cs="仿宋_GB2312" w:hAnsiTheme="minorHAnsi"/>
                <w:kern w:val="0"/>
                <w:sz w:val="24"/>
                <w:szCs w:val="24"/>
                <w:bdr w:val="none" w:color="auto" w:sz="0" w:space="0"/>
                <w:lang w:val="en-US" w:eastAsia="zh-CN" w:bidi="ar"/>
              </w:rPr>
              <w:t>社科：</w:t>
            </w:r>
            <w:r>
              <w:rPr>
                <w:rFonts w:hint="default" w:ascii="Times New Roman" w:hAnsi="Times New Roman" w:cs="Times New Roman" w:eastAsiaTheme="minorEastAsia"/>
                <w:kern w:val="0"/>
                <w:sz w:val="24"/>
                <w:szCs w:val="24"/>
                <w:bdr w:val="none" w:color="auto" w:sz="0" w:space="0"/>
                <w:lang w:val="en-US" w:eastAsia="zh-CN" w:bidi="ar"/>
              </w:rPr>
              <w:t>15</w:t>
            </w:r>
            <w:r>
              <w:rPr>
                <w:rFonts w:hint="default" w:ascii="仿宋_GB2312" w:eastAsia="仿宋_GB2312" w:cs="仿宋_GB2312" w:hAnsiTheme="minorHAnsi"/>
                <w:kern w:val="0"/>
                <w:sz w:val="24"/>
                <w:szCs w:val="24"/>
                <w:bdr w:val="none" w:color="auto" w:sz="0" w:space="0"/>
                <w:lang w:val="en-US" w:eastAsia="zh-CN" w:bidi="ar"/>
              </w:rPr>
              <w:t>万元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仿宋_GB2312" w:eastAsia="仿宋_GB2312" w:cs="仿宋_GB2312" w:hAnsiTheme="minorHAnsi"/>
                <w:kern w:val="0"/>
                <w:sz w:val="24"/>
                <w:szCs w:val="24"/>
                <w:bdr w:val="none" w:color="auto" w:sz="0" w:space="0"/>
                <w:lang w:val="en-US" w:eastAsia="zh-CN" w:bidi="ar"/>
              </w:rPr>
              <w:t>理科：</w:t>
            </w:r>
            <w:r>
              <w:rPr>
                <w:rFonts w:hint="default" w:ascii="Times New Roman" w:hAnsi="Times New Roman" w:cs="Times New Roman" w:eastAsiaTheme="minorEastAsia"/>
                <w:kern w:val="0"/>
                <w:sz w:val="24"/>
                <w:szCs w:val="24"/>
                <w:bdr w:val="none" w:color="auto" w:sz="0" w:space="0"/>
                <w:lang w:val="en-US" w:eastAsia="zh-CN" w:bidi="ar"/>
              </w:rPr>
              <w:t>80</w:t>
            </w:r>
            <w:r>
              <w:rPr>
                <w:rFonts w:hint="default" w:ascii="仿宋_GB2312" w:eastAsia="仿宋_GB2312" w:cs="仿宋_GB2312" w:hAnsiTheme="minorHAnsi"/>
                <w:kern w:val="0"/>
                <w:sz w:val="24"/>
                <w:szCs w:val="24"/>
                <w:bdr w:val="none" w:color="auto" w:sz="0" w:space="0"/>
                <w:lang w:val="en-US" w:eastAsia="zh-CN" w:bidi="ar"/>
              </w:rPr>
              <w:t>万元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仿宋_GB2312" w:eastAsia="仿宋_GB2312" w:cs="仿宋_GB2312" w:hAnsiTheme="minorHAnsi"/>
                <w:kern w:val="0"/>
                <w:sz w:val="24"/>
                <w:szCs w:val="24"/>
                <w:bdr w:val="none" w:color="auto" w:sz="0" w:space="0"/>
                <w:lang w:val="en-US" w:eastAsia="zh-CN" w:bidi="ar"/>
              </w:rPr>
              <w:t>工科：</w:t>
            </w:r>
            <w:r>
              <w:rPr>
                <w:rFonts w:hint="default" w:ascii="Times New Roman" w:hAnsi="Times New Roman" w:cs="Times New Roman" w:eastAsiaTheme="minorEastAsia"/>
                <w:kern w:val="0"/>
                <w:sz w:val="24"/>
                <w:szCs w:val="24"/>
                <w:bdr w:val="none" w:color="auto" w:sz="0" w:space="0"/>
                <w:lang w:val="en-US" w:eastAsia="zh-CN" w:bidi="ar"/>
              </w:rPr>
              <w:t>160</w:t>
            </w:r>
            <w:r>
              <w:rPr>
                <w:rFonts w:hint="default" w:ascii="仿宋_GB2312" w:eastAsia="仿宋_GB2312" w:cs="仿宋_GB2312" w:hAnsiTheme="minorHAnsi"/>
                <w:kern w:val="0"/>
                <w:sz w:val="24"/>
                <w:szCs w:val="24"/>
                <w:bdr w:val="none" w:color="auto" w:sz="0" w:space="0"/>
                <w:lang w:val="en-US" w:eastAsia="zh-CN" w:bidi="ar"/>
              </w:rPr>
              <w:t>万元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仿宋_GB2312" w:eastAsia="仿宋_GB2312" w:cs="仿宋_GB2312" w:hAnsiTheme="minorHAnsi"/>
                <w:kern w:val="0"/>
                <w:sz w:val="24"/>
                <w:szCs w:val="24"/>
                <w:bdr w:val="none" w:color="auto" w:sz="0" w:space="0"/>
                <w:lang w:val="en-US" w:eastAsia="zh-CN" w:bidi="ar"/>
              </w:rPr>
              <w:t>农林：</w:t>
            </w:r>
            <w:r>
              <w:rPr>
                <w:rFonts w:hint="default" w:ascii="Times New Roman" w:hAnsi="Times New Roman" w:cs="Times New Roman" w:eastAsiaTheme="minorEastAsia"/>
                <w:kern w:val="0"/>
                <w:sz w:val="24"/>
                <w:szCs w:val="24"/>
                <w:bdr w:val="none" w:color="auto" w:sz="0" w:space="0"/>
                <w:lang w:val="en-US" w:eastAsia="zh-CN" w:bidi="ar"/>
              </w:rPr>
              <w:t>130</w:t>
            </w:r>
            <w:r>
              <w:rPr>
                <w:rFonts w:hint="default" w:ascii="仿宋_GB2312" w:eastAsia="仿宋_GB2312" w:cs="仿宋_GB2312" w:hAnsiTheme="minorHAnsi"/>
                <w:kern w:val="0"/>
                <w:sz w:val="24"/>
                <w:szCs w:val="24"/>
                <w:bdr w:val="none" w:color="auto" w:sz="0" w:space="0"/>
                <w:lang w:val="en-US" w:eastAsia="zh-CN" w:bidi="ar"/>
              </w:rPr>
              <w:t>万元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仿宋_GB2312" w:eastAsia="仿宋_GB2312" w:cs="仿宋_GB2312" w:hAnsiTheme="minorHAnsi"/>
                <w:kern w:val="0"/>
                <w:sz w:val="24"/>
                <w:szCs w:val="24"/>
                <w:bdr w:val="none" w:color="auto" w:sz="0" w:space="0"/>
                <w:lang w:val="en-US" w:eastAsia="zh-CN" w:bidi="ar"/>
              </w:rPr>
              <w:t>医药：</w:t>
            </w:r>
            <w:r>
              <w:rPr>
                <w:rFonts w:hint="default" w:ascii="Times New Roman" w:hAnsi="Times New Roman" w:cs="Times New Roman" w:eastAsiaTheme="minorEastAsia"/>
                <w:kern w:val="0"/>
                <w:sz w:val="24"/>
                <w:szCs w:val="24"/>
                <w:bdr w:val="none" w:color="auto" w:sz="0" w:space="0"/>
                <w:lang w:val="en-US" w:eastAsia="zh-CN" w:bidi="ar"/>
              </w:rPr>
              <w:t>100</w:t>
            </w:r>
            <w:r>
              <w:rPr>
                <w:rFonts w:hint="default" w:ascii="仿宋_GB2312" w:eastAsia="仿宋_GB2312" w:cs="仿宋_GB2312" w:hAnsiTheme="minorHAnsi"/>
                <w:kern w:val="0"/>
                <w:sz w:val="24"/>
                <w:szCs w:val="24"/>
                <w:bdr w:val="none" w:color="auto" w:sz="0" w:space="0"/>
                <w:lang w:val="en-US" w:eastAsia="zh-CN" w:bidi="ar"/>
              </w:rPr>
              <w:t>万元</w:t>
            </w:r>
          </w:p>
        </w:tc>
        <w:tc>
          <w:tcPr>
            <w:tcW w:w="52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left"/>
            </w:pPr>
            <w:r>
              <w:rPr>
                <w:rFonts w:hint="default" w:ascii="仿宋_GB2312" w:eastAsia="仿宋_GB2312" w:cs="仿宋_GB2312" w:hAnsiTheme="minorHAnsi"/>
                <w:kern w:val="0"/>
                <w:sz w:val="24"/>
                <w:szCs w:val="24"/>
                <w:bdr w:val="none" w:color="auto" w:sz="0" w:space="0"/>
                <w:lang w:val="en-US" w:eastAsia="zh-CN" w:bidi="ar"/>
              </w:rPr>
              <w:t>本学科五年内实际获得并计入本单位财务账目的来源于国家及国务院各部门、国家自然科学基金、国家社会科学基金、国防、地方政府等的科研项目经费合计。</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left"/>
            </w:pPr>
            <w:r>
              <w:rPr>
                <w:rFonts w:hint="default" w:ascii="仿宋_GB2312" w:eastAsia="仿宋_GB2312" w:cs="仿宋_GB2312" w:hAnsiTheme="minorHAnsi"/>
                <w:kern w:val="0"/>
                <w:sz w:val="24"/>
                <w:szCs w:val="24"/>
                <w:bdr w:val="none" w:color="auto" w:sz="0" w:space="0"/>
                <w:lang w:val="en-US" w:eastAsia="zh-CN" w:bidi="ar"/>
              </w:rPr>
              <w:t>科学技术史、力学、光学工程 、农业工程、林业工程、公共卫生与预防医学等一级学科的掌握标准同上。</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10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仿宋_GB2312" w:eastAsia="仿宋_GB2312" w:cs="仿宋_GB2312" w:hAnsiTheme="minorHAnsi"/>
                <w:b/>
                <w:kern w:val="0"/>
                <w:sz w:val="24"/>
                <w:szCs w:val="24"/>
                <w:bdr w:val="none" w:color="auto" w:sz="0" w:space="0"/>
                <w:lang w:val="en-US" w:eastAsia="zh-CN" w:bidi="ar"/>
              </w:rPr>
              <w:t>授硕士学位数</w:t>
            </w:r>
          </w:p>
        </w:tc>
        <w:tc>
          <w:tcPr>
            <w:tcW w:w="21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5</w:t>
            </w:r>
            <w:r>
              <w:rPr>
                <w:rFonts w:hint="default" w:ascii="仿宋_GB2312" w:eastAsia="仿宋_GB2312" w:cs="仿宋_GB2312" w:hAnsiTheme="minorHAnsi"/>
                <w:kern w:val="0"/>
                <w:sz w:val="24"/>
                <w:szCs w:val="24"/>
                <w:bdr w:val="none" w:color="auto" w:sz="0" w:space="0"/>
                <w:lang w:val="en-US" w:eastAsia="zh-CN" w:bidi="ar"/>
              </w:rPr>
              <w:t>人</w:t>
            </w:r>
          </w:p>
        </w:tc>
        <w:tc>
          <w:tcPr>
            <w:tcW w:w="52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60" w:lineRule="atLeast"/>
              <w:ind w:left="0" w:right="0"/>
              <w:jc w:val="left"/>
            </w:pPr>
            <w:r>
              <w:rPr>
                <w:rFonts w:hint="default" w:ascii="仿宋_GB2312" w:eastAsia="仿宋_GB2312" w:cs="仿宋_GB2312" w:hAnsiTheme="minorHAnsi"/>
                <w:kern w:val="0"/>
                <w:sz w:val="24"/>
                <w:szCs w:val="24"/>
                <w:bdr w:val="none" w:color="auto" w:sz="0" w:space="0"/>
                <w:lang w:val="en-US" w:eastAsia="zh-CN" w:bidi="ar"/>
              </w:rPr>
              <w:t>本学科五年内授予硕士学位人数（根据文件规定可以申报的现无二级学科硕士点的除外）。</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720"/>
        <w:jc w:val="left"/>
        <w:rPr>
          <w:rFonts w:hint="default" w:ascii="仿宋_GB2312" w:hAnsi="宋体" w:eastAsia="仿宋_GB2312" w:cs="仿宋_GB2312"/>
          <w:i w:val="0"/>
          <w:caps w:val="0"/>
          <w:color w:val="000000"/>
          <w:spacing w:val="0"/>
          <w:kern w:val="0"/>
          <w:sz w:val="24"/>
          <w:szCs w:val="24"/>
          <w:bdr w:val="none" w:color="auto" w:sz="0" w:space="0"/>
          <w:lang w:val="en-US" w:eastAsia="zh-CN" w:bidi="ar"/>
        </w:rPr>
      </w:pPr>
      <w:r>
        <w:rPr>
          <w:rFonts w:hint="default" w:ascii="仿宋_GB2312" w:hAnsi="宋体" w:eastAsia="仿宋_GB2312" w:cs="仿宋_GB2312"/>
          <w:i w:val="0"/>
          <w:caps w:val="0"/>
          <w:color w:val="000000"/>
          <w:spacing w:val="0"/>
          <w:kern w:val="0"/>
          <w:sz w:val="24"/>
          <w:szCs w:val="24"/>
          <w:bdr w:val="none" w:color="auto" w:sz="0" w:space="0"/>
          <w:lang w:val="en-US" w:eastAsia="zh-CN" w:bidi="ar"/>
        </w:rPr>
        <w:t>说明：“人文”包括哲学、文学、历史学门类；“社科”包括经济学、法学、教育学、管理学门类。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720"/>
        <w:jc w:val="left"/>
        <w:rPr>
          <w:rFonts w:hint="default" w:ascii="仿宋_GB2312" w:hAnsi="宋体" w:eastAsia="仿宋_GB2312" w:cs="仿宋_GB2312"/>
          <w:i w:val="0"/>
          <w:caps w:val="0"/>
          <w:color w:val="000000"/>
          <w:spacing w:val="0"/>
          <w:kern w:val="0"/>
          <w:sz w:val="24"/>
          <w:szCs w:val="24"/>
          <w:bdr w:val="none" w:color="auto" w:sz="0" w:space="0"/>
          <w:lang w:val="en-US" w:eastAsia="zh-CN" w:bidi="ar"/>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Theme="minorEastAsia" w:hAnsiTheme="minorEastAsia" w:eastAsiaTheme="minorEastAsia" w:cstheme="minorEastAsia"/>
          <w:b/>
          <w:bCs/>
          <w:i w:val="0"/>
          <w:caps w:val="0"/>
          <w:color w:val="000000"/>
          <w:spacing w:val="0"/>
          <w:sz w:val="28"/>
          <w:szCs w:val="28"/>
          <w:lang w:eastAsia="zh-CN"/>
        </w:rPr>
      </w:pPr>
      <w:r>
        <w:rPr>
          <w:rFonts w:hint="eastAsia" w:asciiTheme="minorEastAsia" w:hAnsiTheme="minorEastAsia" w:eastAsiaTheme="minorEastAsia" w:cstheme="minorEastAsia"/>
          <w:b/>
          <w:bCs/>
          <w:i w:val="0"/>
          <w:caps w:val="0"/>
          <w:color w:val="000000"/>
          <w:spacing w:val="0"/>
          <w:sz w:val="28"/>
          <w:szCs w:val="28"/>
          <w:lang w:eastAsia="zh-CN"/>
        </w:rPr>
        <w:t>硕士学位授权一级学科点基本条件</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本一级学科具有4～6个特色鲜明、相对稳定的学科方向，面向国家经济建设、社会发展和科学技术进步的需要。 </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一、学术队伍</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有一支知识结构、年龄结构以及专业技术职务结构均较合理，且团结协作，学术思想端正的学术队伍，具有硕士、博士学位的专业人员较多，能持续不断地开展较高水平的教学和研究工作。有若干名在国内同行中有影响、治学严谨、为人正派且具备指导硕士研究生水平和能力的学术带头人。 </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482" w:firstLineChars="200"/>
        <w:jc w:val="both"/>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二、科学研究</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整体学术水平较高、科研能力较强，在一些学科方向上达到或接近国内先进水平。近5年来取得较多科研成果，目前承担较多省部级科研项目或其它有重要应用价值、学术价值的项目，科研经费充足。</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三、教学与人才培养</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能够为硕士研究生开出高水平的系列课程及专题讲座，用于培养硕士研究生的经费充足。有丰富的人才培养经验，所培养的人才质量较高，并受到社会的普遍好评。 </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四、学术交流</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有较浓郁的学术氛围，能够开展一定的学术交流与合作，并在国内具有一定的影响力。 </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五、工作条件</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有比较先进的教学、实验仪器设备，有较充足的国内外图书资料，能满足培养硕士研究生的需要。</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六、管理工作</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管理制度和机构健全，管理人员落实。</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13525F"/>
    <w:rsid w:val="5C1352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2018-01-05T02:32:00Z</dcterms:created>
  <dc:creator>Ignorance</dc:creator>
  <cp:lastModifiedBy>Ignorance</cp:lastModifiedBy>
  <dcterms:modified xsi:type="dcterms:W3CDTF">2018-01-05T05:42:57Z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